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E9DA9" w14:textId="4BF07EDC" w:rsidR="00645CD6" w:rsidRDefault="00645CD6" w:rsidP="0094478F">
      <w:bookmarkStart w:id="0" w:name="_Toc399830588"/>
      <w:r>
        <w:t>Dokumentace pro společné vydání územního rozhodnutí a stavebního povolení je zpracovaná dle vyhl. č. 499/2006 ve znění pozdější</w:t>
      </w:r>
      <w:r w:rsidR="00F70B35">
        <w:t>ch úprav.</w:t>
      </w:r>
    </w:p>
    <w:p w14:paraId="327CDFF8" w14:textId="77777777" w:rsidR="00F70B35" w:rsidRDefault="00F70B35" w:rsidP="0094478F"/>
    <w:p w14:paraId="0C202DD3" w14:textId="1643CDB9" w:rsidR="0032792B" w:rsidRDefault="0094478F" w:rsidP="0094478F">
      <w:pPr>
        <w:pStyle w:val="STNADPIS1"/>
      </w:pPr>
      <w:r>
        <w:t>Identifikační údaje</w:t>
      </w:r>
      <w:bookmarkStart w:id="1" w:name="_GoBack"/>
      <w:bookmarkEnd w:id="1"/>
    </w:p>
    <w:tbl>
      <w:tblPr>
        <w:tblpPr w:leftFromText="141" w:rightFromText="141" w:vertAnchor="text" w:horzAnchor="margin" w:tblpY="6"/>
        <w:tblW w:w="9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4"/>
        <w:gridCol w:w="5584"/>
      </w:tblGrid>
      <w:tr w:rsidR="0094478F" w14:paraId="48EB50F0" w14:textId="77777777" w:rsidTr="0094478F">
        <w:trPr>
          <w:trHeight w:val="364"/>
        </w:trPr>
        <w:tc>
          <w:tcPr>
            <w:tcW w:w="3594" w:type="dxa"/>
            <w:hideMark/>
          </w:tcPr>
          <w:p w14:paraId="5B3DA082" w14:textId="77777777" w:rsidR="0094478F" w:rsidRPr="0048655E" w:rsidRDefault="0094478F" w:rsidP="0094478F">
            <w:pPr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Název stavby,</w:t>
            </w:r>
          </w:p>
        </w:tc>
        <w:tc>
          <w:tcPr>
            <w:tcW w:w="5584" w:type="dxa"/>
            <w:hideMark/>
          </w:tcPr>
          <w:p w14:paraId="66438FAA" w14:textId="2F97B8AA" w:rsidR="0094478F" w:rsidRPr="0048655E" w:rsidRDefault="0094478F" w:rsidP="0094478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Domov pro osoby s autismem v Mladé Boleslavi</w:t>
            </w:r>
          </w:p>
        </w:tc>
      </w:tr>
      <w:tr w:rsidR="0094478F" w14:paraId="0322BDBE" w14:textId="77777777" w:rsidTr="0094478F">
        <w:trPr>
          <w:trHeight w:val="364"/>
        </w:trPr>
        <w:tc>
          <w:tcPr>
            <w:tcW w:w="3594" w:type="dxa"/>
            <w:hideMark/>
          </w:tcPr>
          <w:p w14:paraId="068CDB69" w14:textId="77777777" w:rsidR="0094478F" w:rsidRPr="0048655E" w:rsidRDefault="0094478F" w:rsidP="0094478F">
            <w:pPr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 xml:space="preserve">Investor </w:t>
            </w:r>
          </w:p>
        </w:tc>
        <w:tc>
          <w:tcPr>
            <w:tcW w:w="5584" w:type="dxa"/>
            <w:hideMark/>
          </w:tcPr>
          <w:p w14:paraId="64CA04EA" w14:textId="0D208D02" w:rsidR="0094478F" w:rsidRPr="0048655E" w:rsidRDefault="0094478F" w:rsidP="0094478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Středočeský kraj</w:t>
            </w:r>
          </w:p>
          <w:p w14:paraId="352B6092" w14:textId="68729A1B" w:rsidR="0094478F" w:rsidRPr="0048655E" w:rsidRDefault="00142360" w:rsidP="0094478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Zborovská 11</w:t>
            </w:r>
          </w:p>
          <w:p w14:paraId="5C249987" w14:textId="28532AE6" w:rsidR="0094478F" w:rsidRPr="0048655E" w:rsidRDefault="0094478F" w:rsidP="0094478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Praha </w:t>
            </w:r>
            <w:r w:rsidR="00142360" w:rsidRPr="0048655E">
              <w:rPr>
                <w:rFonts w:ascii="Segoe UI" w:hAnsi="Segoe UI" w:cs="Segoe UI"/>
              </w:rPr>
              <w:t>5</w:t>
            </w:r>
          </w:p>
        </w:tc>
      </w:tr>
      <w:tr w:rsidR="0094478F" w14:paraId="68BD2D2F" w14:textId="77777777" w:rsidTr="0094478F">
        <w:trPr>
          <w:trHeight w:val="364"/>
        </w:trPr>
        <w:tc>
          <w:tcPr>
            <w:tcW w:w="3594" w:type="dxa"/>
            <w:hideMark/>
          </w:tcPr>
          <w:p w14:paraId="1AC39A26" w14:textId="77777777" w:rsidR="0094478F" w:rsidRPr="0048655E" w:rsidRDefault="0094478F" w:rsidP="0094478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Zpracovatel projektu</w:t>
            </w:r>
          </w:p>
        </w:tc>
        <w:tc>
          <w:tcPr>
            <w:tcW w:w="5584" w:type="dxa"/>
            <w:hideMark/>
          </w:tcPr>
          <w:p w14:paraId="5CFD64B1" w14:textId="77777777" w:rsidR="0094478F" w:rsidRPr="0048655E" w:rsidRDefault="0094478F" w:rsidP="0094478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 + TALAŠ, spol. s r.o.</w:t>
            </w:r>
          </w:p>
          <w:p w14:paraId="000CBFAF" w14:textId="56824D75" w:rsidR="0094478F" w:rsidRPr="0048655E" w:rsidRDefault="0094478F" w:rsidP="0094478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Bucharova </w:t>
            </w:r>
            <w:r w:rsidR="00142360" w:rsidRPr="0048655E">
              <w:rPr>
                <w:rFonts w:ascii="Segoe UI" w:hAnsi="Segoe UI" w:cs="Segoe UI"/>
              </w:rPr>
              <w:t>1314</w:t>
            </w:r>
            <w:r w:rsidRPr="0048655E">
              <w:rPr>
                <w:rFonts w:ascii="Segoe UI" w:hAnsi="Segoe UI" w:cs="Segoe UI"/>
              </w:rPr>
              <w:t>/</w:t>
            </w:r>
            <w:r w:rsidR="00142360" w:rsidRPr="0048655E">
              <w:rPr>
                <w:rFonts w:ascii="Segoe UI" w:hAnsi="Segoe UI" w:cs="Segoe UI"/>
              </w:rPr>
              <w:t>8</w:t>
            </w:r>
          </w:p>
          <w:p w14:paraId="042246D6" w14:textId="77777777" w:rsidR="0094478F" w:rsidRPr="0048655E" w:rsidRDefault="0094478F" w:rsidP="0094478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158 00 Praha 5</w:t>
            </w:r>
          </w:p>
          <w:p w14:paraId="3204444E" w14:textId="77777777" w:rsidR="0094478F" w:rsidRPr="0048655E" w:rsidRDefault="0094478F" w:rsidP="0094478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IČO:06943187</w:t>
            </w:r>
            <w:r w:rsidRPr="0048655E">
              <w:rPr>
                <w:rFonts w:ascii="Segoe UI" w:hAnsi="Segoe UI" w:cs="Segoe UI"/>
                <w:iCs/>
              </w:rPr>
              <w:t xml:space="preserve"> </w:t>
            </w:r>
          </w:p>
        </w:tc>
      </w:tr>
      <w:tr w:rsidR="0094478F" w14:paraId="1B2E5578" w14:textId="77777777" w:rsidTr="0094478F">
        <w:trPr>
          <w:trHeight w:val="364"/>
        </w:trPr>
        <w:tc>
          <w:tcPr>
            <w:tcW w:w="3594" w:type="dxa"/>
            <w:hideMark/>
          </w:tcPr>
          <w:p w14:paraId="3C7B4B53" w14:textId="77777777" w:rsidR="0094478F" w:rsidRPr="0048655E" w:rsidRDefault="0094478F" w:rsidP="0094478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Manažer/Hlavní inženýr projektu</w:t>
            </w:r>
          </w:p>
        </w:tc>
        <w:tc>
          <w:tcPr>
            <w:tcW w:w="5584" w:type="dxa"/>
            <w:hideMark/>
          </w:tcPr>
          <w:p w14:paraId="294C9893" w14:textId="77777777" w:rsidR="00142360" w:rsidRPr="0048655E" w:rsidRDefault="00142360" w:rsidP="00142360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Ing. Miroslav Špitálský</w:t>
            </w:r>
          </w:p>
          <w:p w14:paraId="7A8604B5" w14:textId="77777777" w:rsidR="00142360" w:rsidRPr="0048655E" w:rsidRDefault="00142360" w:rsidP="00142360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autorizovaný inženýr pro pozemní stavby </w:t>
            </w:r>
          </w:p>
          <w:p w14:paraId="026F94A2" w14:textId="77777777" w:rsidR="00142360" w:rsidRPr="0048655E" w:rsidRDefault="00142360" w:rsidP="00142360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obor IP00, ČKAIT – 0005432</w:t>
            </w:r>
          </w:p>
          <w:p w14:paraId="2E1FF608" w14:textId="21E2C48D" w:rsidR="0094478F" w:rsidRPr="0048655E" w:rsidRDefault="00142360" w:rsidP="0094478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  <w:r w:rsidR="0094478F" w:rsidRPr="0048655E">
              <w:rPr>
                <w:rFonts w:ascii="Segoe UI" w:hAnsi="Segoe UI" w:cs="Segoe UI"/>
                <w:iCs/>
              </w:rPr>
              <w:t xml:space="preserve"> </w:t>
            </w:r>
          </w:p>
        </w:tc>
      </w:tr>
      <w:tr w:rsidR="00234731" w14:paraId="78437F08" w14:textId="77777777" w:rsidTr="0094478F">
        <w:trPr>
          <w:trHeight w:val="364"/>
        </w:trPr>
        <w:tc>
          <w:tcPr>
            <w:tcW w:w="3594" w:type="dxa"/>
          </w:tcPr>
          <w:p w14:paraId="292DAD86" w14:textId="770F819D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Zodpovědný projektant:</w:t>
            </w:r>
          </w:p>
        </w:tc>
        <w:tc>
          <w:tcPr>
            <w:tcW w:w="5584" w:type="dxa"/>
          </w:tcPr>
          <w:p w14:paraId="4C9F4146" w14:textId="5D013680" w:rsidR="00234731" w:rsidRPr="0048655E" w:rsidRDefault="00234731" w:rsidP="00234731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Ing. </w:t>
            </w:r>
            <w:r>
              <w:rPr>
                <w:rFonts w:ascii="Segoe UI" w:hAnsi="Segoe UI" w:cs="Segoe UI"/>
              </w:rPr>
              <w:t>Ki</w:t>
            </w:r>
            <w:r w:rsidR="00485450">
              <w:rPr>
                <w:rFonts w:ascii="Segoe UI" w:hAnsi="Segoe UI" w:cs="Segoe UI"/>
              </w:rPr>
              <w:t>t</w:t>
            </w:r>
            <w:r>
              <w:rPr>
                <w:rFonts w:ascii="Segoe UI" w:hAnsi="Segoe UI" w:cs="Segoe UI"/>
              </w:rPr>
              <w:t>t</w:t>
            </w:r>
            <w:r w:rsidR="009A0179">
              <w:rPr>
                <w:rFonts w:ascii="Segoe UI" w:hAnsi="Segoe UI" w:cs="Segoe UI"/>
              </w:rPr>
              <w:t>i</w:t>
            </w:r>
            <w:r>
              <w:rPr>
                <w:rFonts w:ascii="Segoe UI" w:hAnsi="Segoe UI" w:cs="Segoe UI"/>
              </w:rPr>
              <w:t xml:space="preserve"> </w:t>
            </w:r>
            <w:proofErr w:type="spellStart"/>
            <w:r>
              <w:rPr>
                <w:rFonts w:ascii="Segoe UI" w:hAnsi="Segoe UI" w:cs="Segoe UI"/>
              </w:rPr>
              <w:t>Országhová</w:t>
            </w:r>
            <w:proofErr w:type="spellEnd"/>
          </w:p>
          <w:p w14:paraId="5866BBE7" w14:textId="1497F459" w:rsidR="00234731" w:rsidRPr="0048655E" w:rsidRDefault="00234731" w:rsidP="00234731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</w:p>
        </w:tc>
      </w:tr>
      <w:tr w:rsidR="00234731" w14:paraId="1BFEA79A" w14:textId="77777777" w:rsidTr="0094478F">
        <w:trPr>
          <w:trHeight w:val="364"/>
        </w:trPr>
        <w:tc>
          <w:tcPr>
            <w:tcW w:w="3594" w:type="dxa"/>
          </w:tcPr>
          <w:p w14:paraId="31EF4DDC" w14:textId="77777777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</w:p>
        </w:tc>
        <w:tc>
          <w:tcPr>
            <w:tcW w:w="5584" w:type="dxa"/>
          </w:tcPr>
          <w:p w14:paraId="448ACD9C" w14:textId="77777777" w:rsidR="00234731" w:rsidRPr="0048655E" w:rsidRDefault="00234731" w:rsidP="00234731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</w:p>
        </w:tc>
      </w:tr>
      <w:tr w:rsidR="00234731" w14:paraId="683E8FBE" w14:textId="77777777" w:rsidTr="0094478F">
        <w:trPr>
          <w:trHeight w:val="364"/>
        </w:trPr>
        <w:tc>
          <w:tcPr>
            <w:tcW w:w="3594" w:type="dxa"/>
            <w:hideMark/>
          </w:tcPr>
          <w:p w14:paraId="5B9197C9" w14:textId="276150BD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Objekt</w:t>
            </w:r>
            <w:r w:rsidR="00645CD6">
              <w:rPr>
                <w:rFonts w:cs="Segoe UI"/>
              </w:rPr>
              <w:t>, část</w:t>
            </w:r>
            <w:r w:rsidRPr="0048655E">
              <w:rPr>
                <w:rFonts w:cs="Segoe UI"/>
              </w:rPr>
              <w:t>:</w:t>
            </w:r>
          </w:p>
        </w:tc>
        <w:tc>
          <w:tcPr>
            <w:tcW w:w="5584" w:type="dxa"/>
            <w:hideMark/>
          </w:tcPr>
          <w:p w14:paraId="7B78E6E3" w14:textId="2C15D5F7" w:rsidR="00234731" w:rsidRPr="0048655E" w:rsidRDefault="00645CD6" w:rsidP="00234731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B8. Zásady organizace výstavby (ZOV)</w:t>
            </w:r>
          </w:p>
        </w:tc>
      </w:tr>
      <w:tr w:rsidR="00234731" w14:paraId="25DE53A2" w14:textId="77777777" w:rsidTr="0094478F">
        <w:trPr>
          <w:trHeight w:val="364"/>
        </w:trPr>
        <w:tc>
          <w:tcPr>
            <w:tcW w:w="3594" w:type="dxa"/>
            <w:hideMark/>
          </w:tcPr>
          <w:p w14:paraId="18CC09EA" w14:textId="7B849C65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Zodpovědný projektant:</w:t>
            </w:r>
          </w:p>
        </w:tc>
        <w:tc>
          <w:tcPr>
            <w:tcW w:w="5584" w:type="dxa"/>
            <w:hideMark/>
          </w:tcPr>
          <w:p w14:paraId="73777ACF" w14:textId="77777777" w:rsidR="00234731" w:rsidRPr="0048655E" w:rsidRDefault="00234731" w:rsidP="00234731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Ing. Miroslav Špitálský</w:t>
            </w:r>
          </w:p>
          <w:p w14:paraId="457147DA" w14:textId="49AF4618" w:rsidR="00234731" w:rsidRPr="0048655E" w:rsidRDefault="00234731" w:rsidP="00234731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</w:p>
        </w:tc>
      </w:tr>
    </w:tbl>
    <w:p w14:paraId="41BFDDA0" w14:textId="77777777" w:rsidR="00142360" w:rsidRDefault="00142360" w:rsidP="00295579">
      <w:pPr>
        <w:pStyle w:val="STNADPIS1"/>
        <w:numPr>
          <w:ilvl w:val="0"/>
          <w:numId w:val="0"/>
        </w:numPr>
      </w:pPr>
    </w:p>
    <w:p w14:paraId="69340368" w14:textId="77777777" w:rsidR="00142360" w:rsidRDefault="00142360" w:rsidP="00295579">
      <w:pPr>
        <w:pStyle w:val="STNADPIS1"/>
        <w:numPr>
          <w:ilvl w:val="0"/>
          <w:numId w:val="0"/>
        </w:numPr>
        <w:sectPr w:rsidR="00142360" w:rsidSect="002727A2">
          <w:headerReference w:type="default" r:id="rId8"/>
          <w:footerReference w:type="default" r:id="rId9"/>
          <w:pgSz w:w="11906" w:h="16838" w:code="9"/>
          <w:pgMar w:top="1701" w:right="1134" w:bottom="1418" w:left="1701" w:header="1247" w:footer="851" w:gutter="0"/>
          <w:cols w:space="1128"/>
          <w:docGrid w:linePitch="360"/>
        </w:sectPr>
      </w:pPr>
    </w:p>
    <w:p w14:paraId="421FA874" w14:textId="6051068E" w:rsidR="00F70B35" w:rsidRPr="00072148" w:rsidRDefault="00F70B35" w:rsidP="00F70B35">
      <w:pPr>
        <w:pStyle w:val="STNADPIS1"/>
      </w:pPr>
      <w:bookmarkStart w:id="3" w:name="_Toc489799256"/>
      <w:r w:rsidRPr="00072148">
        <w:lastRenderedPageBreak/>
        <w:t>Potřeby a spotřeby rozhodujících médií a hmot, jejich zajištění, odvodnění staveniště</w:t>
      </w:r>
      <w:bookmarkEnd w:id="3"/>
    </w:p>
    <w:p w14:paraId="284D42D4" w14:textId="77777777" w:rsidR="00F70B35" w:rsidRDefault="00F70B35" w:rsidP="00F70B35">
      <w:pPr>
        <w:pStyle w:val="Normlnbezmezer"/>
      </w:pPr>
      <w:r w:rsidRPr="00B8420C">
        <w:t>Výpočet potřeby elektrické energie pro výstavbu</w:t>
      </w:r>
      <w:r>
        <w:t>:</w:t>
      </w:r>
      <w:r w:rsidRPr="00B8420C">
        <w:t xml:space="preserve"> </w:t>
      </w:r>
    </w:p>
    <w:p w14:paraId="3709915D" w14:textId="154D8DC5" w:rsidR="00F70B35" w:rsidRDefault="00F70B35" w:rsidP="00F70B35">
      <w:pPr>
        <w:pStyle w:val="Normlnbezmezer"/>
      </w:pPr>
      <w:r w:rsidRPr="00072148">
        <w:t xml:space="preserve">Předpokládaný celkový počet pracovníků při dodržení občanským zákoníkem stanovené 42,5 hod. týdenní pracovní době se </w:t>
      </w:r>
      <w:r>
        <w:t xml:space="preserve">na staveništi </w:t>
      </w:r>
      <w:r w:rsidRPr="00072148">
        <w:t xml:space="preserve">v průběhu </w:t>
      </w:r>
      <w:r w:rsidRPr="007D7E5D">
        <w:t xml:space="preserve">výstavby </w:t>
      </w:r>
      <w:r w:rsidRPr="00072148">
        <w:t xml:space="preserve">bude pohybovat </w:t>
      </w:r>
      <w:r w:rsidRPr="007D7E5D">
        <w:t xml:space="preserve">kolem </w:t>
      </w:r>
      <w:r>
        <w:t>10</w:t>
      </w:r>
      <w:r w:rsidRPr="007D7E5D">
        <w:t xml:space="preserve"> pracovníků.</w:t>
      </w:r>
    </w:p>
    <w:p w14:paraId="5B4489B8" w14:textId="77777777" w:rsidR="00DF140B" w:rsidRPr="00072148" w:rsidRDefault="00DF140B" w:rsidP="00F70B35">
      <w:pPr>
        <w:pStyle w:val="Normlnbezmezer"/>
      </w:pPr>
    </w:p>
    <w:tbl>
      <w:tblPr>
        <w:tblW w:w="8505" w:type="dxa"/>
        <w:tblInd w:w="38" w:type="dxa"/>
        <w:tblLook w:val="04A0" w:firstRow="1" w:lastRow="0" w:firstColumn="1" w:lastColumn="0" w:noHBand="0" w:noVBand="1"/>
      </w:tblPr>
      <w:tblGrid>
        <w:gridCol w:w="5335"/>
        <w:gridCol w:w="1538"/>
        <w:gridCol w:w="1632"/>
      </w:tblGrid>
      <w:tr w:rsidR="00F70B35" w:rsidRPr="007D7E5D" w14:paraId="65B61597" w14:textId="77777777" w:rsidTr="000A2197">
        <w:tc>
          <w:tcPr>
            <w:tcW w:w="5457" w:type="dxa"/>
          </w:tcPr>
          <w:p w14:paraId="051A682B" w14:textId="77777777" w:rsidR="00F70B35" w:rsidRPr="007D7E5D" w:rsidRDefault="00F70B35" w:rsidP="00F70B35">
            <w:pPr>
              <w:pStyle w:val="Normlnbezmezer"/>
            </w:pPr>
            <w:r w:rsidRPr="007D7E5D">
              <w:t>Technologická voda</w:t>
            </w:r>
          </w:p>
        </w:tc>
        <w:tc>
          <w:tcPr>
            <w:tcW w:w="1559" w:type="dxa"/>
          </w:tcPr>
          <w:p w14:paraId="611AE2C1" w14:textId="77777777" w:rsidR="00F70B35" w:rsidRPr="007D7E5D" w:rsidRDefault="00F70B35" w:rsidP="00F70B35">
            <w:pPr>
              <w:pStyle w:val="Normlnbezmezer"/>
            </w:pPr>
            <w:r w:rsidRPr="007D7E5D">
              <w:t>1000 l</w:t>
            </w:r>
          </w:p>
        </w:tc>
        <w:tc>
          <w:tcPr>
            <w:tcW w:w="1665" w:type="dxa"/>
          </w:tcPr>
          <w:p w14:paraId="5F79FB99" w14:textId="77777777" w:rsidR="00F70B35" w:rsidRPr="007D7E5D" w:rsidRDefault="00F70B35" w:rsidP="00F70B35">
            <w:pPr>
              <w:pStyle w:val="Normlnbezmezer"/>
            </w:pPr>
          </w:p>
        </w:tc>
      </w:tr>
      <w:tr w:rsidR="00F70B35" w:rsidRPr="007D7E5D" w14:paraId="48E5EA5F" w14:textId="77777777" w:rsidTr="000A2197">
        <w:tc>
          <w:tcPr>
            <w:tcW w:w="5457" w:type="dxa"/>
          </w:tcPr>
          <w:p w14:paraId="1567291C" w14:textId="77777777" w:rsidR="00F70B35" w:rsidRPr="007D7E5D" w:rsidRDefault="00F70B35" w:rsidP="00F70B35">
            <w:pPr>
              <w:pStyle w:val="Normlnbezmezer"/>
            </w:pPr>
            <w:r w:rsidRPr="007D7E5D">
              <w:t>koeficient nerovnoměrnosti</w:t>
            </w:r>
          </w:p>
        </w:tc>
        <w:tc>
          <w:tcPr>
            <w:tcW w:w="1559" w:type="dxa"/>
          </w:tcPr>
          <w:p w14:paraId="31A0D630" w14:textId="77777777" w:rsidR="00F70B35" w:rsidRPr="007D7E5D" w:rsidRDefault="00F70B35" w:rsidP="00F70B35">
            <w:pPr>
              <w:pStyle w:val="Normlnbezmezer"/>
            </w:pPr>
            <w:r w:rsidRPr="007D7E5D">
              <w:t>1000 x 1,5</w:t>
            </w:r>
          </w:p>
        </w:tc>
        <w:tc>
          <w:tcPr>
            <w:tcW w:w="1665" w:type="dxa"/>
          </w:tcPr>
          <w:p w14:paraId="0245C010" w14:textId="77777777" w:rsidR="00F70B35" w:rsidRPr="007D7E5D" w:rsidRDefault="00F70B35" w:rsidP="00F70B35">
            <w:pPr>
              <w:pStyle w:val="Normlnbezmezer"/>
            </w:pPr>
            <w:r w:rsidRPr="007D7E5D">
              <w:t>1500 l</w:t>
            </w:r>
          </w:p>
        </w:tc>
      </w:tr>
      <w:tr w:rsidR="00F70B35" w:rsidRPr="007D7E5D" w14:paraId="025846AE" w14:textId="77777777" w:rsidTr="000A2197">
        <w:tc>
          <w:tcPr>
            <w:tcW w:w="5457" w:type="dxa"/>
            <w:tcBorders>
              <w:bottom w:val="single" w:sz="4" w:space="0" w:color="auto"/>
            </w:tcBorders>
          </w:tcPr>
          <w:p w14:paraId="375D2012" w14:textId="77777777" w:rsidR="00F70B35" w:rsidRPr="007D7E5D" w:rsidRDefault="00F70B35" w:rsidP="00F70B35">
            <w:pPr>
              <w:pStyle w:val="Normlnbezmezer"/>
            </w:pPr>
            <w:r w:rsidRPr="007D7E5D">
              <w:t xml:space="preserve">počet pracovníků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A4300E" w14:textId="1F55DC5A" w:rsidR="00F70B35" w:rsidRPr="007D7E5D" w:rsidRDefault="00F70B35" w:rsidP="00F70B35">
            <w:pPr>
              <w:pStyle w:val="Normlnbezmezer"/>
            </w:pPr>
            <w:r>
              <w:t>1</w:t>
            </w:r>
            <w:r w:rsidRPr="007D7E5D">
              <w:t>0x100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14:paraId="57D43092" w14:textId="789820A3" w:rsidR="00F70B35" w:rsidRPr="007D7E5D" w:rsidRDefault="00F70B35" w:rsidP="00F70B35">
            <w:pPr>
              <w:pStyle w:val="Normlnbezmezer"/>
            </w:pPr>
            <w:r>
              <w:t>1</w:t>
            </w:r>
            <w:r w:rsidRPr="007D7E5D">
              <w:t>000 l</w:t>
            </w:r>
          </w:p>
        </w:tc>
      </w:tr>
      <w:tr w:rsidR="00F70B35" w:rsidRPr="007D7E5D" w14:paraId="06BA6DBD" w14:textId="77777777" w:rsidTr="000A2197">
        <w:tc>
          <w:tcPr>
            <w:tcW w:w="5457" w:type="dxa"/>
            <w:tcBorders>
              <w:top w:val="single" w:sz="4" w:space="0" w:color="auto"/>
              <w:bottom w:val="single" w:sz="4" w:space="0" w:color="auto"/>
            </w:tcBorders>
          </w:tcPr>
          <w:p w14:paraId="0F9C3B6F" w14:textId="77777777" w:rsidR="00F70B35" w:rsidRPr="007D7E5D" w:rsidRDefault="00F70B35" w:rsidP="00F70B35">
            <w:pPr>
              <w:pStyle w:val="Normlnbezmezer"/>
              <w:rPr>
                <w:rFonts w:ascii="Calibri" w:hAnsi="Calibri"/>
                <w:sz w:val="20"/>
              </w:rPr>
            </w:pPr>
            <w:r w:rsidRPr="007D7E5D">
              <w:t>Celkem</w:t>
            </w:r>
            <w:r w:rsidRPr="007D7E5D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7A0C9F8" w14:textId="6FD0EA72" w:rsidR="00F70B35" w:rsidRPr="007D7E5D" w:rsidRDefault="00846086" w:rsidP="00F70B35">
            <w:pPr>
              <w:pStyle w:val="Normlnbezmezer"/>
            </w:pPr>
            <w:r>
              <w:t>2</w:t>
            </w:r>
            <w:r w:rsidR="00F70B35" w:rsidRPr="007D7E5D">
              <w:t>500 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</w:tcPr>
          <w:p w14:paraId="6E712C39" w14:textId="77777777" w:rsidR="00F70B35" w:rsidRPr="007D7E5D" w:rsidRDefault="00F70B35" w:rsidP="00F70B35">
            <w:pPr>
              <w:pStyle w:val="Normlnbezmezer"/>
              <w:rPr>
                <w:rFonts w:ascii="Calibri" w:hAnsi="Calibri"/>
                <w:sz w:val="20"/>
              </w:rPr>
            </w:pPr>
          </w:p>
        </w:tc>
      </w:tr>
      <w:tr w:rsidR="00F70B35" w:rsidRPr="007D7E5D" w14:paraId="24B5D625" w14:textId="77777777" w:rsidTr="000A2197">
        <w:tc>
          <w:tcPr>
            <w:tcW w:w="5457" w:type="dxa"/>
            <w:tcBorders>
              <w:top w:val="single" w:sz="4" w:space="0" w:color="auto"/>
            </w:tcBorders>
          </w:tcPr>
          <w:p w14:paraId="391095D8" w14:textId="77777777" w:rsidR="00F70B35" w:rsidRPr="0024622B" w:rsidRDefault="00F70B35" w:rsidP="00F70B35">
            <w:pPr>
              <w:pStyle w:val="Normlnbezmezer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C51636C" w14:textId="77777777" w:rsidR="00F70B35" w:rsidRPr="007D7E5D" w:rsidRDefault="00F70B35" w:rsidP="00F70B35">
            <w:pPr>
              <w:pStyle w:val="Normlnbezmezer"/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14:paraId="69600BE9" w14:textId="77777777" w:rsidR="00F70B35" w:rsidRPr="007D7E5D" w:rsidRDefault="00F70B35" w:rsidP="00F70B35">
            <w:pPr>
              <w:pStyle w:val="Normlnbezmezer"/>
              <w:rPr>
                <w:rFonts w:ascii="Calibri" w:hAnsi="Calibri"/>
                <w:sz w:val="20"/>
              </w:rPr>
            </w:pPr>
          </w:p>
        </w:tc>
      </w:tr>
      <w:tr w:rsidR="00F70B35" w:rsidRPr="007D7E5D" w14:paraId="7A57058D" w14:textId="77777777" w:rsidTr="000A2197">
        <w:tc>
          <w:tcPr>
            <w:tcW w:w="5457" w:type="dxa"/>
          </w:tcPr>
          <w:p w14:paraId="6EE4FD84" w14:textId="3FE7E6CE" w:rsidR="00F70B35" w:rsidRPr="007D7E5D" w:rsidRDefault="00F70B35" w:rsidP="00F70B35">
            <w:pPr>
              <w:pStyle w:val="Normlnbezmezer"/>
            </w:pPr>
            <w:r w:rsidRPr="00072148">
              <w:t xml:space="preserve">Maximální </w:t>
            </w:r>
            <w:r w:rsidR="00544C97">
              <w:t xml:space="preserve">okamžitá </w:t>
            </w:r>
            <w:r w:rsidR="00846086">
              <w:t xml:space="preserve">denní </w:t>
            </w:r>
            <w:r w:rsidRPr="00072148">
              <w:t>potřeba vody činí</w:t>
            </w:r>
          </w:p>
        </w:tc>
        <w:tc>
          <w:tcPr>
            <w:tcW w:w="1559" w:type="dxa"/>
          </w:tcPr>
          <w:p w14:paraId="61DE9402" w14:textId="649B778D" w:rsidR="00F70B35" w:rsidRPr="007D7E5D" w:rsidRDefault="00F70B35" w:rsidP="00F70B35">
            <w:pPr>
              <w:pStyle w:val="Normlnbezmezer"/>
            </w:pPr>
            <w:r>
              <w:t>2500</w:t>
            </w:r>
            <w:r w:rsidRPr="00072148">
              <w:t xml:space="preserve"> / 30600</w:t>
            </w:r>
          </w:p>
        </w:tc>
        <w:tc>
          <w:tcPr>
            <w:tcW w:w="1665" w:type="dxa"/>
          </w:tcPr>
          <w:p w14:paraId="32E0EFA9" w14:textId="6404D021" w:rsidR="00F70B35" w:rsidRPr="007D7E5D" w:rsidRDefault="00F70B35" w:rsidP="00F70B35">
            <w:pPr>
              <w:pStyle w:val="Normlnbezmezer"/>
              <w:rPr>
                <w:rFonts w:ascii="Calibri" w:hAnsi="Calibri"/>
                <w:sz w:val="20"/>
              </w:rPr>
            </w:pPr>
            <w:r w:rsidRPr="00072148">
              <w:t>0,</w:t>
            </w:r>
            <w:r w:rsidR="00544C97">
              <w:t xml:space="preserve">08 </w:t>
            </w:r>
            <w:r w:rsidRPr="00072148">
              <w:t>l/sec</w:t>
            </w:r>
          </w:p>
        </w:tc>
      </w:tr>
    </w:tbl>
    <w:p w14:paraId="777CE649" w14:textId="77777777" w:rsidR="00F70B35" w:rsidRPr="00072148" w:rsidRDefault="00F70B35" w:rsidP="00F70B35">
      <w:pPr>
        <w:spacing w:after="0"/>
      </w:pPr>
    </w:p>
    <w:p w14:paraId="0D9B664C" w14:textId="77777777" w:rsidR="00F70B35" w:rsidRPr="00B8420C" w:rsidRDefault="00F70B35" w:rsidP="00F70B35">
      <w:pPr>
        <w:pStyle w:val="Bezmezer"/>
      </w:pPr>
      <w:r w:rsidRPr="00B8420C">
        <w:t>Výpočet potřeby elektr</w:t>
      </w:r>
      <w:r>
        <w:t>ické energie pro výstavbu:</w:t>
      </w:r>
    </w:p>
    <w:tbl>
      <w:tblPr>
        <w:tblW w:w="850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7"/>
        <w:gridCol w:w="2220"/>
        <w:gridCol w:w="1429"/>
        <w:gridCol w:w="1429"/>
      </w:tblGrid>
      <w:tr w:rsidR="00F70B35" w:rsidRPr="00B8420C" w14:paraId="1685C64C" w14:textId="77777777" w:rsidTr="000A219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DB03B1E" w14:textId="77777777" w:rsidR="00F70B35" w:rsidRPr="00B8420C" w:rsidRDefault="00F70B35" w:rsidP="000A2197">
            <w:pPr>
              <w:pStyle w:val="Bezmezer"/>
            </w:pPr>
            <w:r>
              <w:t xml:space="preserve">druh odběru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D8A8A5" w14:textId="77777777" w:rsidR="00F70B35" w:rsidRPr="00B8420C" w:rsidRDefault="00F70B35" w:rsidP="000A2197">
            <w:pPr>
              <w:pStyle w:val="Bezmezer"/>
              <w:jc w:val="center"/>
            </w:pPr>
            <w:r w:rsidRPr="00B8420C">
              <w:t>Pi (kW)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CA8500" w14:textId="77777777" w:rsidR="00F70B35" w:rsidRPr="00B8420C" w:rsidRDefault="00F70B35" w:rsidP="000A2197">
            <w:pPr>
              <w:pStyle w:val="Bezmezer"/>
              <w:jc w:val="center"/>
            </w:pPr>
            <w:r w:rsidRPr="00B8420C">
              <w:t>soudobost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5D40A4" w14:textId="77777777" w:rsidR="00F70B35" w:rsidRPr="00B8420C" w:rsidRDefault="00F70B35" w:rsidP="000A2197">
            <w:pPr>
              <w:pStyle w:val="Bezmezer"/>
              <w:jc w:val="center"/>
            </w:pPr>
            <w:r w:rsidRPr="00B8420C">
              <w:t>Ps (kW)</w:t>
            </w:r>
          </w:p>
        </w:tc>
      </w:tr>
      <w:tr w:rsidR="00F70B35" w:rsidRPr="00B8420C" w14:paraId="50D0DA13" w14:textId="77777777" w:rsidTr="000A2197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515089C" w14:textId="77777777" w:rsidR="00F70B35" w:rsidRPr="00B8420C" w:rsidRDefault="00F70B35" w:rsidP="000A2197">
            <w:pPr>
              <w:pStyle w:val="Bezmezer"/>
            </w:pPr>
            <w:r w:rsidRPr="00B8420C">
              <w:t>Buňkoviště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left w:w="851" w:type="dxa"/>
              <w:right w:w="851" w:type="dxa"/>
            </w:tcMar>
            <w:vAlign w:val="bottom"/>
          </w:tcPr>
          <w:p w14:paraId="32F80896" w14:textId="77777777" w:rsidR="00F70B35" w:rsidRPr="00B8420C" w:rsidRDefault="00F70B35" w:rsidP="000A2197">
            <w:pPr>
              <w:pStyle w:val="Bezmezer"/>
              <w:jc w:val="center"/>
            </w:pPr>
            <w:r>
              <w:t>10</w:t>
            </w:r>
            <w:r w:rsidRPr="00B8420C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06E3A01" w14:textId="77777777" w:rsidR="00F70B35" w:rsidRPr="00B8420C" w:rsidRDefault="00F70B35" w:rsidP="000A2197">
            <w:pPr>
              <w:pStyle w:val="Bezmezer"/>
              <w:jc w:val="center"/>
            </w:pPr>
            <w:r w:rsidRPr="00B8420C"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FB43E8F" w14:textId="77777777" w:rsidR="00F70B35" w:rsidRPr="00B8420C" w:rsidRDefault="00F70B35" w:rsidP="000A2197">
            <w:pPr>
              <w:pStyle w:val="Bezmezer"/>
              <w:jc w:val="center"/>
            </w:pPr>
            <w:r>
              <w:t>7,0</w:t>
            </w:r>
          </w:p>
        </w:tc>
      </w:tr>
      <w:tr w:rsidR="00F70B35" w:rsidRPr="00B8420C" w14:paraId="7EE0178E" w14:textId="77777777" w:rsidTr="000A2197">
        <w:trPr>
          <w:trHeight w:val="300"/>
        </w:trPr>
        <w:tc>
          <w:tcPr>
            <w:tcW w:w="340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74AFAD8" w14:textId="6A038549" w:rsidR="00F70B35" w:rsidRPr="00B8420C" w:rsidRDefault="00F70B35" w:rsidP="000A2197">
            <w:pPr>
              <w:pStyle w:val="Bezmezer"/>
            </w:pPr>
            <w:r w:rsidRPr="00B8420C">
              <w:t>Stavební stroje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tcMar>
              <w:left w:w="851" w:type="dxa"/>
              <w:right w:w="851" w:type="dxa"/>
            </w:tcMar>
            <w:vAlign w:val="bottom"/>
          </w:tcPr>
          <w:p w14:paraId="1286188C" w14:textId="2E8BCBA7" w:rsidR="00F70B35" w:rsidRPr="00B8420C" w:rsidRDefault="00544C97" w:rsidP="000A2197">
            <w:pPr>
              <w:pStyle w:val="Bezmezer"/>
              <w:jc w:val="center"/>
            </w:pPr>
            <w:r>
              <w:t>100</w:t>
            </w:r>
            <w:r w:rsidR="00F70B35" w:rsidRPr="00B8420C">
              <w:t>,0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D6871E0" w14:textId="4AB60791" w:rsidR="00F70B35" w:rsidRPr="00B8420C" w:rsidRDefault="00F70B35" w:rsidP="000A2197">
            <w:pPr>
              <w:pStyle w:val="Bezmezer"/>
              <w:jc w:val="center"/>
            </w:pPr>
            <w:r w:rsidRPr="00B8420C">
              <w:t>0,</w:t>
            </w:r>
            <w:r w:rsidR="00544C97">
              <w:t>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AE56EFF" w14:textId="4AAB4B4E" w:rsidR="00F70B35" w:rsidRPr="00B8420C" w:rsidRDefault="00F74933" w:rsidP="000A2197">
            <w:pPr>
              <w:pStyle w:val="Bezmezer"/>
              <w:jc w:val="center"/>
            </w:pPr>
            <w:r>
              <w:t>50</w:t>
            </w:r>
            <w:r w:rsidR="00F70B35" w:rsidRPr="00B8420C">
              <w:t>,0</w:t>
            </w:r>
          </w:p>
        </w:tc>
      </w:tr>
      <w:tr w:rsidR="00F70B35" w:rsidRPr="00B8420C" w14:paraId="2BB6B415" w14:textId="77777777" w:rsidTr="000A2197">
        <w:trPr>
          <w:trHeight w:val="300"/>
        </w:trPr>
        <w:tc>
          <w:tcPr>
            <w:tcW w:w="340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5F4AA94" w14:textId="77777777" w:rsidR="00F70B35" w:rsidRPr="00B8420C" w:rsidRDefault="00F70B35" w:rsidP="000A2197">
            <w:pPr>
              <w:pStyle w:val="Bezmezer"/>
            </w:pPr>
            <w:r w:rsidRPr="00B8420C">
              <w:t>Osvětlení staveniště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tcMar>
              <w:left w:w="851" w:type="dxa"/>
              <w:right w:w="851" w:type="dxa"/>
            </w:tcMar>
            <w:vAlign w:val="bottom"/>
          </w:tcPr>
          <w:p w14:paraId="4640E3AE" w14:textId="77777777" w:rsidR="00F70B35" w:rsidRPr="00B8420C" w:rsidRDefault="00F70B35" w:rsidP="000A2197">
            <w:pPr>
              <w:pStyle w:val="Bezmezer"/>
              <w:jc w:val="center"/>
            </w:pPr>
            <w:r>
              <w:t>5</w:t>
            </w:r>
            <w:r w:rsidRPr="00B8420C">
              <w:t>,0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26B640D" w14:textId="4125447A" w:rsidR="00F70B35" w:rsidRPr="00B8420C" w:rsidRDefault="00F70B35" w:rsidP="000A2197">
            <w:pPr>
              <w:pStyle w:val="Bezmezer"/>
              <w:jc w:val="center"/>
            </w:pPr>
            <w:r w:rsidRPr="00B8420C">
              <w:t>0,</w:t>
            </w:r>
            <w:r w:rsidR="00544C97">
              <w:t>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CEA1865" w14:textId="6F5962A2" w:rsidR="00F70B35" w:rsidRPr="00B8420C" w:rsidRDefault="00F74933" w:rsidP="000A2197">
            <w:pPr>
              <w:pStyle w:val="Bezmezer"/>
              <w:jc w:val="center"/>
            </w:pPr>
            <w:r>
              <w:t>2,5</w:t>
            </w:r>
            <w:r w:rsidR="00F70B35" w:rsidRPr="00B8420C">
              <w:t>0</w:t>
            </w:r>
          </w:p>
        </w:tc>
      </w:tr>
      <w:tr w:rsidR="00F70B35" w:rsidRPr="00B8420C" w14:paraId="0C1F657A" w14:textId="77777777" w:rsidTr="000A2197">
        <w:trPr>
          <w:trHeight w:val="300"/>
        </w:trPr>
        <w:tc>
          <w:tcPr>
            <w:tcW w:w="340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B2757DB" w14:textId="5D725832" w:rsidR="00F70B35" w:rsidRPr="00B8420C" w:rsidRDefault="006F3D02" w:rsidP="000A2197">
            <w:pPr>
              <w:pStyle w:val="Bezmezer"/>
            </w:pPr>
            <w:r w:rsidRPr="00B8420C">
              <w:t>Drobné mechanizmy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tcMar>
              <w:left w:w="851" w:type="dxa"/>
              <w:right w:w="851" w:type="dxa"/>
            </w:tcMar>
            <w:vAlign w:val="bottom"/>
          </w:tcPr>
          <w:p w14:paraId="4F62384F" w14:textId="77777777" w:rsidR="00F70B35" w:rsidRPr="00B8420C" w:rsidRDefault="00F70B35" w:rsidP="000A2197">
            <w:pPr>
              <w:pStyle w:val="Bezmezer"/>
              <w:jc w:val="center"/>
            </w:pPr>
            <w:r w:rsidRPr="00B8420C">
              <w:t>30,0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617210B" w14:textId="77777777" w:rsidR="00F70B35" w:rsidRPr="00B8420C" w:rsidRDefault="00F70B35" w:rsidP="000A2197">
            <w:pPr>
              <w:pStyle w:val="Bezmezer"/>
              <w:jc w:val="center"/>
            </w:pPr>
            <w:r w:rsidRPr="00B8420C">
              <w:t>0,5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05B5D84" w14:textId="77777777" w:rsidR="00F70B35" w:rsidRPr="00B8420C" w:rsidRDefault="00F70B35" w:rsidP="000A2197">
            <w:pPr>
              <w:pStyle w:val="Bezmezer"/>
              <w:jc w:val="center"/>
            </w:pPr>
            <w:r w:rsidRPr="00B8420C">
              <w:t>15,0</w:t>
            </w:r>
          </w:p>
        </w:tc>
      </w:tr>
      <w:tr w:rsidR="00F70B35" w:rsidRPr="00B8420C" w14:paraId="357C5895" w14:textId="77777777" w:rsidTr="000A2197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B84A89A" w14:textId="77777777" w:rsidR="00F70B35" w:rsidRPr="00B8420C" w:rsidRDefault="00F70B35" w:rsidP="000A2197">
            <w:r>
              <w:t>Celke</w:t>
            </w:r>
            <w:r w:rsidRPr="00B8420C">
              <w:t>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B44E707" w14:textId="77777777" w:rsidR="00F70B35" w:rsidRPr="00B8420C" w:rsidRDefault="00F70B35" w:rsidP="000A2197">
            <w:pPr>
              <w:jc w:val="center"/>
            </w:pPr>
            <w:r>
              <w:t>175</w:t>
            </w:r>
            <w:r w:rsidRPr="00B8420C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D5FAB2B" w14:textId="77777777" w:rsidR="00F70B35" w:rsidRPr="00B8420C" w:rsidRDefault="00F70B35" w:rsidP="000A219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A36703B" w14:textId="4766A3E8" w:rsidR="00F70B35" w:rsidRPr="00B8420C" w:rsidRDefault="00DB0C85" w:rsidP="000A2197">
            <w:pPr>
              <w:jc w:val="center"/>
            </w:pPr>
            <w:r>
              <w:t>7</w:t>
            </w:r>
            <w:r w:rsidR="00F70B35">
              <w:t>4</w:t>
            </w:r>
            <w:r w:rsidR="00F70B35" w:rsidRPr="00B8420C">
              <w:t>,0</w:t>
            </w:r>
          </w:p>
        </w:tc>
      </w:tr>
    </w:tbl>
    <w:p w14:paraId="7E5F1B1A" w14:textId="5D049A97" w:rsidR="00F70B35" w:rsidRPr="00B8420C" w:rsidRDefault="00F70B35" w:rsidP="00F70B35">
      <w:r w:rsidRPr="00B8420C">
        <w:t xml:space="preserve">Odhadovaný soudobý příkon stavby a zařízení staveniště je cca </w:t>
      </w:r>
      <w:r w:rsidR="00DB0C85">
        <w:t>74,50</w:t>
      </w:r>
      <w:r w:rsidRPr="00B8420C">
        <w:t xml:space="preserve">kW. </w:t>
      </w:r>
    </w:p>
    <w:p w14:paraId="76A71C6E" w14:textId="77777777" w:rsidR="00FD2BA1" w:rsidRDefault="00F70B35" w:rsidP="00F70B35">
      <w:r>
        <w:t>Dešťová voda bude odváděna na volný terén, kde bude likvidována vsakem na </w:t>
      </w:r>
      <w:r w:rsidRPr="00AF02C4">
        <w:t>pozemku investora</w:t>
      </w:r>
      <w:r>
        <w:t>. Dešťové vody z</w:t>
      </w:r>
      <w:r w:rsidR="00FD2BA1">
        <w:t xml:space="preserve"> případně zbudovaných a stávajících </w:t>
      </w:r>
      <w:r>
        <w:t>zpevněn</w:t>
      </w:r>
      <w:r w:rsidR="00FD2BA1">
        <w:t>ých</w:t>
      </w:r>
      <w:r>
        <w:t xml:space="preserve"> ploch </w:t>
      </w:r>
      <w:r w:rsidR="00FD2BA1">
        <w:t xml:space="preserve">budou </w:t>
      </w:r>
      <w:r w:rsidR="00DB0C85">
        <w:t>stékat k jej</w:t>
      </w:r>
      <w:r w:rsidR="00FD2BA1">
        <w:t>ich</w:t>
      </w:r>
      <w:r w:rsidR="00DB0C85">
        <w:t xml:space="preserve"> okraji jako doposud a vsakovat se do podloží </w:t>
      </w:r>
      <w:r>
        <w:t>na pozemku investora.</w:t>
      </w:r>
    </w:p>
    <w:p w14:paraId="72E3EBF5" w14:textId="08C9CE98" w:rsidR="00DF140B" w:rsidRDefault="00F70B35" w:rsidP="00F70B35">
      <w:r>
        <w:t xml:space="preserve">Odpadní voda z buňkoviště </w:t>
      </w:r>
      <w:r w:rsidR="00DF140B">
        <w:t xml:space="preserve">bude provizorně napojena </w:t>
      </w:r>
      <w:r w:rsidR="00FD2BA1">
        <w:t xml:space="preserve">na </w:t>
      </w:r>
      <w:r w:rsidR="00DF140B">
        <w:t>stávající kanalizační přípojku</w:t>
      </w:r>
      <w:r>
        <w:t>.</w:t>
      </w:r>
      <w:r w:rsidR="00FD2BA1">
        <w:t xml:space="preserve"> WC pro pracovníky se uvažují chemické buňky.</w:t>
      </w:r>
    </w:p>
    <w:p w14:paraId="794AFECF" w14:textId="77777777" w:rsidR="00624DB2" w:rsidRDefault="00624DB2" w:rsidP="00FD2BA1"/>
    <w:p w14:paraId="30E42BEA" w14:textId="77777777" w:rsidR="00F70B35" w:rsidRPr="00072148" w:rsidRDefault="00F70B35" w:rsidP="00624DB2">
      <w:pPr>
        <w:pStyle w:val="STNADPIS1"/>
      </w:pPr>
      <w:bookmarkStart w:id="4" w:name="_Toc489799257"/>
      <w:r w:rsidRPr="00072148">
        <w:t>Napojení staveniště na stávající dopravní a technickou infrastrukturu</w:t>
      </w:r>
      <w:bookmarkEnd w:id="4"/>
    </w:p>
    <w:p w14:paraId="7F077507" w14:textId="46452924" w:rsidR="009760D6" w:rsidRDefault="009760D6" w:rsidP="009760D6">
      <w:pPr>
        <w:pStyle w:val="STNADPIS2"/>
        <w:numPr>
          <w:ilvl w:val="1"/>
          <w:numId w:val="12"/>
        </w:numPr>
      </w:pPr>
      <w:r>
        <w:t>Napojení na dopravní infrastrukturu</w:t>
      </w:r>
    </w:p>
    <w:p w14:paraId="7C688CDB" w14:textId="0294120A" w:rsidR="00A21E1D" w:rsidRDefault="00F70B35" w:rsidP="00F70B35">
      <w:r w:rsidRPr="00854482">
        <w:t xml:space="preserve">Vlastní staveniště </w:t>
      </w:r>
      <w:r w:rsidR="00624DB2">
        <w:t xml:space="preserve">pro zásobování bude </w:t>
      </w:r>
      <w:r w:rsidRPr="00854482">
        <w:t>přístupné z</w:t>
      </w:r>
      <w:r>
        <w:t> </w:t>
      </w:r>
      <w:r w:rsidRPr="00854482">
        <w:t>ul</w:t>
      </w:r>
      <w:r>
        <w:t xml:space="preserve">ice </w:t>
      </w:r>
      <w:r w:rsidR="00624DB2">
        <w:t>Havlíčkova přes dvůr centra pro zdravotně postižené</w:t>
      </w:r>
      <w:r w:rsidR="00A21E1D">
        <w:t xml:space="preserve">, přičemž stavba je malého rozsahu, takže se předpokládají </w:t>
      </w:r>
      <w:r w:rsidR="00A21E1D">
        <w:lastRenderedPageBreak/>
        <w:t>menší a lehké nákladní vozy. Přes travnatý prostor je pak třeba položit silniční panely, aby nedošlo k poškození podzemních kabelů a rozbahnění povrchu.</w:t>
      </w:r>
    </w:p>
    <w:p w14:paraId="195324CB" w14:textId="1053D20A" w:rsidR="00541ED3" w:rsidRDefault="00A21E1D" w:rsidP="00F70B35">
      <w:r>
        <w:t xml:space="preserve">Většinu </w:t>
      </w:r>
      <w:r w:rsidR="00541ED3">
        <w:t xml:space="preserve">drobnějšího </w:t>
      </w:r>
      <w:r>
        <w:t xml:space="preserve">materiálu je však možno na staveniště dopravit </w:t>
      </w:r>
      <w:r w:rsidR="00541ED3">
        <w:t xml:space="preserve">při krátkodobém zastavení </w:t>
      </w:r>
      <w:r>
        <w:t xml:space="preserve">přímo z ulice </w:t>
      </w:r>
      <w:r w:rsidR="00541ED3">
        <w:t>stávající brankou pro pěší s pomocí staveništního výtahu.</w:t>
      </w:r>
    </w:p>
    <w:p w14:paraId="7AAD9336" w14:textId="11763954" w:rsidR="00682990" w:rsidRDefault="00682990" w:rsidP="00682990">
      <w:r>
        <w:t xml:space="preserve">Příjezd ke staveništi bude probíhat po vnitřních komunikacích města. </w:t>
      </w:r>
      <w:r w:rsidRPr="00854482">
        <w:t>Finální trasy nákladní dopravy (v širším měřítku) včetně jejich povolení si určí a zajistí generální dodavatel stavby v souvislosti s vlastním vy</w:t>
      </w:r>
      <w:r>
        <w:t>pracovaným ZOV (v závislosti na </w:t>
      </w:r>
      <w:r w:rsidRPr="00854482">
        <w:t xml:space="preserve">konkrétním umístění skládek, </w:t>
      </w:r>
      <w:r>
        <w:t>míchačky</w:t>
      </w:r>
      <w:r w:rsidRPr="00854482">
        <w:t xml:space="preserve"> apod.) Schválení dopravních tras a </w:t>
      </w:r>
      <w:r>
        <w:t xml:space="preserve">eventuálních </w:t>
      </w:r>
      <w:r w:rsidRPr="00854482">
        <w:t>opatření na těchto trasách bude před zahájením stavby odsouhlaseno příslušnými orgány státní správy. V těsné blízkosti stavby bude instalováno dočasné dopravní značení upozorňující na probíhající výstavbu.</w:t>
      </w:r>
    </w:p>
    <w:p w14:paraId="31C521E5" w14:textId="37E7DD93" w:rsidR="00541ED3" w:rsidRDefault="009760D6" w:rsidP="009760D6">
      <w:pPr>
        <w:pStyle w:val="STNADPIS2"/>
        <w:numPr>
          <w:ilvl w:val="1"/>
          <w:numId w:val="12"/>
        </w:numPr>
      </w:pPr>
      <w:r>
        <w:t>Napojení na technickou infrastrukturu</w:t>
      </w:r>
    </w:p>
    <w:p w14:paraId="02BDD14A" w14:textId="77777777" w:rsidR="009760D6" w:rsidRDefault="009760D6" w:rsidP="009760D6">
      <w:r>
        <w:t>Potřebná voda se pro staveniště zajistí napojením na stávající vodovodní přípojku.</w:t>
      </w:r>
    </w:p>
    <w:p w14:paraId="7150E21C" w14:textId="77777777" w:rsidR="009760D6" w:rsidRDefault="009760D6" w:rsidP="009760D6">
      <w:r>
        <w:t>Odpadní voda z buňkoviště bude provizorně napojena na stávající kanalizační přípojku. WC pro pracovníky se uvažují chemické buňky.</w:t>
      </w:r>
    </w:p>
    <w:p w14:paraId="25EF94C0" w14:textId="678524BE" w:rsidR="009760D6" w:rsidRDefault="009760D6" w:rsidP="009760D6">
      <w:r>
        <w:t>Elektřinou lze staveniště zásobovat ze stávající přípojky přes staveništní venkovní rozvaděč.</w:t>
      </w:r>
    </w:p>
    <w:p w14:paraId="732A4C0F" w14:textId="77777777" w:rsidR="009760D6" w:rsidRDefault="009760D6" w:rsidP="009760D6">
      <w:r w:rsidRPr="00B8420C">
        <w:t>Telefon a telekomunikace bude zajištěna prost</w:t>
      </w:r>
      <w:r>
        <w:t>řednictvím mobilních operátorů.</w:t>
      </w:r>
    </w:p>
    <w:p w14:paraId="4AA4A4F7" w14:textId="77777777" w:rsidR="009760D6" w:rsidRPr="00EF27A1" w:rsidRDefault="009760D6" w:rsidP="009760D6">
      <w:pPr>
        <w:pStyle w:val="STNADPIS1"/>
      </w:pPr>
      <w:bookmarkStart w:id="5" w:name="_Toc489799261"/>
      <w:r w:rsidRPr="00EF27A1">
        <w:t>Vliv provádění stavby na okolní stavby a pozemky</w:t>
      </w:r>
      <w:bookmarkEnd w:id="5"/>
    </w:p>
    <w:p w14:paraId="295975D8" w14:textId="50BC4852" w:rsidR="009760D6" w:rsidRDefault="009760D6" w:rsidP="009760D6">
      <w:r w:rsidRPr="00EF27A1">
        <w:t>Stavba nebude mít ve svém důsledku negativní vliv na okolní stavby a poze</w:t>
      </w:r>
      <w:r>
        <w:t xml:space="preserve">mky. Staveniště je umístěno na </w:t>
      </w:r>
      <w:r w:rsidRPr="00EF27A1">
        <w:t>oplocených pozemcích stavebníka. Za hlavní vlivy působení stavební činnosti na okolí lze považovat hluk a prach</w:t>
      </w:r>
      <w:r>
        <w:t xml:space="preserve">, který bude </w:t>
      </w:r>
      <w:r w:rsidRPr="00EF27A1">
        <w:t xml:space="preserve">důsledně eliminován. Stavba bude prováděna tradičními technologiemi s použitím běžných stavebních materiálů za pomoci </w:t>
      </w:r>
      <w:r w:rsidR="00F82667">
        <w:t xml:space="preserve">minimální </w:t>
      </w:r>
      <w:r w:rsidR="00543175">
        <w:t>m</w:t>
      </w:r>
      <w:r w:rsidR="00F82667">
        <w:t>echanizace</w:t>
      </w:r>
      <w:r w:rsidRPr="00EF27A1">
        <w:t>.</w:t>
      </w:r>
    </w:p>
    <w:p w14:paraId="17A11B76" w14:textId="526C2FB0" w:rsidR="0053405D" w:rsidRPr="00EF27A1" w:rsidRDefault="0053405D" w:rsidP="0053405D">
      <w:pPr>
        <w:pStyle w:val="STNADPIS1"/>
      </w:pPr>
      <w:r>
        <w:t>Ochrana okolí stavby</w:t>
      </w:r>
    </w:p>
    <w:p w14:paraId="680A9856" w14:textId="47116604" w:rsidR="009760D6" w:rsidRDefault="009760D6" w:rsidP="009760D6">
      <w:r w:rsidRPr="00EF27A1">
        <w:t>Pro hluk ze stavební činnosti bude u chráněného venkovního prostoru staveb vždy splněn požadovaný hygienický limit LAeq,</w:t>
      </w:r>
      <w:r w:rsidR="00F82667">
        <w:t xml:space="preserve"> </w:t>
      </w:r>
      <w:r w:rsidRPr="00EF27A1">
        <w:t>14h = 65,0 dB, vymezený v nařízení</w:t>
      </w:r>
      <w:r>
        <w:t>m</w:t>
      </w:r>
      <w:r w:rsidRPr="00EF27A1">
        <w:t xml:space="preserve"> vlády č. 272/2011 Sb. </w:t>
      </w:r>
    </w:p>
    <w:p w14:paraId="39274B23" w14:textId="06AE4C09" w:rsidR="00B07FF1" w:rsidRPr="00EF27A1" w:rsidRDefault="00B07FF1" w:rsidP="00B07FF1">
      <w:r w:rsidRPr="00EF27A1">
        <w:t xml:space="preserve">Stavební práce budou </w:t>
      </w:r>
      <w:r>
        <w:t>probíhat</w:t>
      </w:r>
      <w:r w:rsidRPr="00EF27A1">
        <w:t xml:space="preserve"> ve všední dny </w:t>
      </w:r>
      <w:r w:rsidR="006F3D02">
        <w:t>v</w:t>
      </w:r>
      <w:r w:rsidRPr="00EF27A1">
        <w:t xml:space="preserve"> době od 7.00 </w:t>
      </w:r>
      <w:r>
        <w:t>do 18</w:t>
      </w:r>
      <w:r w:rsidR="00543175">
        <w:t>:00</w:t>
      </w:r>
      <w:r>
        <w:t xml:space="preserve"> hodin, maximálně </w:t>
      </w:r>
      <w:r w:rsidRPr="00EF27A1">
        <w:t xml:space="preserve">do 21. 00 </w:t>
      </w:r>
      <w:r>
        <w:t>hodin O </w:t>
      </w:r>
      <w:r w:rsidRPr="00EF27A1">
        <w:t>víkendech budou prováděny pouze málo hlučné práce a práce ve</w:t>
      </w:r>
      <w:r>
        <w:t> </w:t>
      </w:r>
      <w:r w:rsidRPr="00EF27A1">
        <w:t>vnitřním prostoru.</w:t>
      </w:r>
      <w:r>
        <w:t xml:space="preserve"> Při případném použití adekvátního strojního </w:t>
      </w:r>
      <w:r w:rsidRPr="00EF27A1">
        <w:t xml:space="preserve">zařízení </w:t>
      </w:r>
      <w:r>
        <w:t xml:space="preserve">musí být tyto </w:t>
      </w:r>
      <w:r w:rsidRPr="00EF27A1">
        <w:t xml:space="preserve">s nízkými hlukovými parametry. </w:t>
      </w:r>
    </w:p>
    <w:p w14:paraId="22F44959" w14:textId="79E2FA2A" w:rsidR="008A1AFF" w:rsidRDefault="009760D6" w:rsidP="009760D6">
      <w:r w:rsidRPr="00EF27A1">
        <w:lastRenderedPageBreak/>
        <w:t xml:space="preserve">Stavební dodavatel musí použít </w:t>
      </w:r>
      <w:r w:rsidR="00F82667">
        <w:t>takové</w:t>
      </w:r>
      <w:r w:rsidRPr="00EF27A1">
        <w:t xml:space="preserve"> mechanismy a</w:t>
      </w:r>
      <w:r>
        <w:t xml:space="preserve"> takové pracovní postupy, které </w:t>
      </w:r>
      <w:r w:rsidRPr="00EF27A1">
        <w:t>zajistí dodržení výše uvedených podmínek. Stavební činnost musí být soustředěna pouze na pozemek investora.</w:t>
      </w:r>
    </w:p>
    <w:p w14:paraId="3A36B5F2" w14:textId="13A412AC" w:rsidR="00BD4895" w:rsidRDefault="009760D6" w:rsidP="009760D6">
      <w:r w:rsidRPr="00EF27A1">
        <w:t xml:space="preserve">Veškeré stavební materiály (betony, výztuž a podobně) budou okamžitě po přivezení </w:t>
      </w:r>
      <w:r w:rsidR="00F82667">
        <w:t xml:space="preserve">na staveniště </w:t>
      </w:r>
      <w:r w:rsidRPr="00EF27A1">
        <w:t>zpracovány</w:t>
      </w:r>
      <w:r w:rsidR="00F82667">
        <w:t xml:space="preserve"> nebo uloženy v</w:t>
      </w:r>
      <w:r w:rsidR="00BD4895">
        <w:t>e vyhrazené b</w:t>
      </w:r>
      <w:r w:rsidR="00F82667">
        <w:t>uň</w:t>
      </w:r>
      <w:r w:rsidR="00BD4895">
        <w:t>ce na pozemku.</w:t>
      </w:r>
      <w:r w:rsidRPr="00EF27A1">
        <w:t xml:space="preserve"> Předpokládáme užití betonových směsí</w:t>
      </w:r>
      <w:r w:rsidR="00BD4895">
        <w:t xml:space="preserve"> a malt.</w:t>
      </w:r>
    </w:p>
    <w:p w14:paraId="34FA5F03" w14:textId="6934BBBD" w:rsidR="009760D6" w:rsidRPr="00EF27A1" w:rsidRDefault="009760D6" w:rsidP="009760D6">
      <w:r w:rsidRPr="00EF27A1">
        <w:t xml:space="preserve">Užívané komunikace pro dopravu stavebních materiálů a odvoz </w:t>
      </w:r>
      <w:r>
        <w:t>suti</w:t>
      </w:r>
      <w:r w:rsidRPr="00EF27A1">
        <w:t>, bude dodavatel stavby udržovat po celou dobu stavební činnosti v čistém stavu.</w:t>
      </w:r>
    </w:p>
    <w:p w14:paraId="3627C269" w14:textId="7C165A6C" w:rsidR="009760D6" w:rsidRDefault="009760D6" w:rsidP="009760D6">
      <w:r w:rsidRPr="004E64B1">
        <w:t xml:space="preserve">Vstup na staveniště bude </w:t>
      </w:r>
      <w:r>
        <w:tab/>
      </w:r>
      <w:r w:rsidRPr="004E64B1">
        <w:t>zajištěn</w:t>
      </w:r>
      <w:r>
        <w:t xml:space="preserve"> a kontrolován</w:t>
      </w:r>
      <w:r w:rsidRPr="004E64B1">
        <w:t>, v nočních hodinách nebo ve dnech pracovního klidu a v</w:t>
      </w:r>
      <w:r>
        <w:t>olna bude stavba pod uzamčením. Dodavatel stavby si se stavebníkem vyřeší podmínky vstupu jeho zaměstnanců do areálu.</w:t>
      </w:r>
    </w:p>
    <w:p w14:paraId="4FA48348" w14:textId="77777777" w:rsidR="00B07FF1" w:rsidRPr="004E64B1" w:rsidRDefault="00B07FF1" w:rsidP="00B07FF1">
      <w:pPr>
        <w:pStyle w:val="Normlnbezmezer"/>
      </w:pPr>
      <w:r w:rsidRPr="004E64B1">
        <w:t>Režim vstupu na staveniště, délku pracovní doby a opr</w:t>
      </w:r>
      <w:r>
        <w:t>ávněnost osob bude stanovena v </w:t>
      </w:r>
      <w:r w:rsidRPr="004E64B1">
        <w:t xml:space="preserve">součinnosti s prováděcí firmou. Stavba zajistí viditelnou ceduli, kde bude uveden: </w:t>
      </w:r>
    </w:p>
    <w:p w14:paraId="754D3586" w14:textId="77777777" w:rsidR="00B07FF1" w:rsidRDefault="00B07FF1" w:rsidP="00B07FF1">
      <w:pPr>
        <w:pStyle w:val="Normlnbezmezer"/>
        <w:numPr>
          <w:ilvl w:val="0"/>
          <w:numId w:val="15"/>
        </w:numPr>
      </w:pPr>
      <w:r>
        <w:t>název stavby,</w:t>
      </w:r>
    </w:p>
    <w:p w14:paraId="2E0B43C0" w14:textId="77777777" w:rsidR="00B07FF1" w:rsidRDefault="00B07FF1" w:rsidP="00B07FF1">
      <w:pPr>
        <w:pStyle w:val="Normlnbezmezer"/>
        <w:numPr>
          <w:ilvl w:val="0"/>
          <w:numId w:val="15"/>
        </w:numPr>
      </w:pPr>
      <w:r w:rsidRPr="004E64B1">
        <w:t>investor, zástupce investora</w:t>
      </w:r>
      <w:r>
        <w:t xml:space="preserve"> </w:t>
      </w:r>
      <w:r w:rsidRPr="004E64B1">
        <w:t>včetně telefonického spojení</w:t>
      </w:r>
    </w:p>
    <w:p w14:paraId="0132F026" w14:textId="77777777" w:rsidR="00B07FF1" w:rsidRDefault="00B07FF1" w:rsidP="00B07FF1">
      <w:pPr>
        <w:pStyle w:val="Normlnbezmezer"/>
        <w:numPr>
          <w:ilvl w:val="0"/>
          <w:numId w:val="15"/>
        </w:numPr>
      </w:pPr>
      <w:r w:rsidRPr="004E64B1">
        <w:t>projektant</w:t>
      </w:r>
      <w:r>
        <w:t xml:space="preserve">, zástupce projektanta </w:t>
      </w:r>
      <w:r w:rsidRPr="004E64B1">
        <w:t xml:space="preserve">včetně telefonického spojení </w:t>
      </w:r>
    </w:p>
    <w:p w14:paraId="1A339BA7" w14:textId="77777777" w:rsidR="00B07FF1" w:rsidRDefault="00B07FF1" w:rsidP="00B07FF1">
      <w:pPr>
        <w:pStyle w:val="Normlnbezmezer"/>
        <w:numPr>
          <w:ilvl w:val="0"/>
          <w:numId w:val="15"/>
        </w:numPr>
      </w:pPr>
      <w:r w:rsidRPr="004E64B1">
        <w:t>generální dodavatel, zástupce generálního</w:t>
      </w:r>
      <w:r>
        <w:t xml:space="preserve"> dodavatele </w:t>
      </w:r>
      <w:r w:rsidRPr="004E64B1">
        <w:t xml:space="preserve">včetně telefonického spojení, </w:t>
      </w:r>
    </w:p>
    <w:p w14:paraId="48E711D6" w14:textId="77777777" w:rsidR="00B07FF1" w:rsidRDefault="00B07FF1" w:rsidP="00B07FF1">
      <w:pPr>
        <w:pStyle w:val="Normlnbezmezer"/>
        <w:numPr>
          <w:ilvl w:val="0"/>
          <w:numId w:val="15"/>
        </w:numPr>
      </w:pPr>
      <w:r>
        <w:t xml:space="preserve">technický dozor </w:t>
      </w:r>
      <w:r w:rsidRPr="004E64B1">
        <w:t>včetně telefonického spojení</w:t>
      </w:r>
    </w:p>
    <w:p w14:paraId="63A41E9C" w14:textId="77777777" w:rsidR="00B07FF1" w:rsidRDefault="00B07FF1" w:rsidP="00B07FF1">
      <w:pPr>
        <w:pStyle w:val="Odstavecseseznamem"/>
        <w:numPr>
          <w:ilvl w:val="0"/>
          <w:numId w:val="15"/>
        </w:numPr>
      </w:pPr>
      <w:r>
        <w:t>termíny výstavby</w:t>
      </w:r>
      <w:r w:rsidRPr="004E64B1">
        <w:t xml:space="preserve">. </w:t>
      </w:r>
    </w:p>
    <w:p w14:paraId="165182B5" w14:textId="2CE11C24" w:rsidR="00B07FF1" w:rsidRDefault="009760D6" w:rsidP="009760D6">
      <w:r w:rsidRPr="004E64B1">
        <w:t>Stavební firma bude řádně pojištěna na škody způso</w:t>
      </w:r>
      <w:r>
        <w:t>bené jejím vlastním zaviněním a </w:t>
      </w:r>
      <w:r w:rsidRPr="004E64B1">
        <w:t xml:space="preserve">současně bude v průběhu stavby tato stavba pojištěna (živelné pohromy, krádež apod.) na celkovou výši dokončené stavby a pojištění bude </w:t>
      </w:r>
      <w:r w:rsidR="00543175">
        <w:t>s</w:t>
      </w:r>
      <w:r w:rsidRPr="004E64B1">
        <w:t>jednáno i na obsazené prostory.</w:t>
      </w:r>
    </w:p>
    <w:p w14:paraId="0D05CB16" w14:textId="77777777" w:rsidR="00B07FF1" w:rsidRPr="00EF27A1" w:rsidRDefault="00B07FF1" w:rsidP="00B07FF1">
      <w:pPr>
        <w:pStyle w:val="STNADPIS1"/>
      </w:pPr>
      <w:bookmarkStart w:id="6" w:name="_Toc489799263"/>
      <w:r>
        <w:t>O</w:t>
      </w:r>
      <w:r w:rsidRPr="00EF27A1">
        <w:t>chrana okolí staveniště a požadavky na související asanace, demolice, kácení dřevin</w:t>
      </w:r>
      <w:bookmarkEnd w:id="6"/>
    </w:p>
    <w:p w14:paraId="541FD3E4" w14:textId="70276FF4" w:rsidR="008F406A" w:rsidRDefault="00B07FF1" w:rsidP="00B07FF1">
      <w:r>
        <w:t xml:space="preserve">V rámci stavby budou </w:t>
      </w:r>
      <w:r w:rsidR="008F406A">
        <w:t>prováděny lokální bourací práce související přestavby budovy a</w:t>
      </w:r>
      <w:r w:rsidR="006F3D02">
        <w:t> </w:t>
      </w:r>
      <w:r w:rsidR="008F406A">
        <w:t>celého pozemku včetně oplocení.</w:t>
      </w:r>
    </w:p>
    <w:p w14:paraId="42AAC02F" w14:textId="19C3631E" w:rsidR="008F406A" w:rsidRDefault="008F406A" w:rsidP="00B07FF1">
      <w:r>
        <w:t>Související demolicí bude překop vozovky pro rekonstrukci přípojek vody a kanalizace, a dočasné rozebrání části přilehlého chodníku. Zámková dlažba z chodníku bude sk</w:t>
      </w:r>
      <w:r w:rsidR="00B45774">
        <w:t>l</w:t>
      </w:r>
      <w:r>
        <w:t>adována na staveni</w:t>
      </w:r>
      <w:r w:rsidR="00B45774">
        <w:t>š</w:t>
      </w:r>
      <w:r>
        <w:t>tním pozemku</w:t>
      </w:r>
      <w:r w:rsidR="00B45774">
        <w:t xml:space="preserve"> pro opětovné použití. </w:t>
      </w:r>
      <w:r w:rsidR="00853297">
        <w:t xml:space="preserve"> Živičný odpad z překopu pozemku bude odvezen k ekologické likvidaci.</w:t>
      </w:r>
    </w:p>
    <w:p w14:paraId="349D3046" w14:textId="1D8F33D0" w:rsidR="00541ED3" w:rsidRDefault="00682990" w:rsidP="00F70B35">
      <w:r>
        <w:t>Vytěžená zemina bude použita pro zásypy.</w:t>
      </w:r>
    </w:p>
    <w:p w14:paraId="63332FE3" w14:textId="77777777" w:rsidR="00EC0D30" w:rsidRPr="00EC0D30" w:rsidRDefault="00EC0D30" w:rsidP="00EC0D30">
      <w:pPr>
        <w:pStyle w:val="STNADPIS1"/>
      </w:pPr>
      <w:r w:rsidRPr="00EC0D30">
        <w:t>Maximální zábory pro staveniště (dočasné/ trvalé)</w:t>
      </w:r>
    </w:p>
    <w:p w14:paraId="0FF1D9D9" w14:textId="0E286411" w:rsidR="00876680" w:rsidRDefault="00EC0D30" w:rsidP="00EC0D30">
      <w:r>
        <w:lastRenderedPageBreak/>
        <w:t>P</w:t>
      </w:r>
      <w:r w:rsidRPr="00E426BF">
        <w:t>locha řešeného území</w:t>
      </w:r>
      <w:r>
        <w:t xml:space="preserve">, </w:t>
      </w:r>
      <w:r w:rsidRPr="00E426BF">
        <w:t>staveniště</w:t>
      </w:r>
      <w:r>
        <w:t xml:space="preserve">, </w:t>
      </w:r>
      <w:r w:rsidRPr="00E426BF">
        <w:t xml:space="preserve">se nachází uvnitř </w:t>
      </w:r>
      <w:r>
        <w:t xml:space="preserve">zástavby města. </w:t>
      </w:r>
      <w:r w:rsidRPr="00E426BF">
        <w:t>Pro potřeby stavby bude využit</w:t>
      </w:r>
      <w:r>
        <w:t>a celá plocha pozemku (parc</w:t>
      </w:r>
      <w:r w:rsidR="006F3D02">
        <w:t>ela</w:t>
      </w:r>
      <w:r>
        <w:t xml:space="preserve"> č. </w:t>
      </w:r>
      <w:r w:rsidR="00876680">
        <w:t>496/9 a 1558</w:t>
      </w:r>
      <w:r>
        <w:t>)</w:t>
      </w:r>
      <w:r w:rsidR="00876680">
        <w:t>.</w:t>
      </w:r>
    </w:p>
    <w:p w14:paraId="3259FC71" w14:textId="3434B7DA" w:rsidR="00EC0D30" w:rsidRDefault="00EC0D30" w:rsidP="00EC0D30">
      <w:r>
        <w:t xml:space="preserve">Plocha ZS bude využita pro umístění </w:t>
      </w:r>
      <w:r w:rsidR="00A1685B">
        <w:t>3</w:t>
      </w:r>
      <w:r>
        <w:t xml:space="preserve"> buněk</w:t>
      </w:r>
      <w:r w:rsidR="00AE0992">
        <w:t xml:space="preserve"> pro zaměstnance a</w:t>
      </w:r>
      <w:r>
        <w:t xml:space="preserve"> sklad</w:t>
      </w:r>
      <w:r w:rsidR="00AE0992">
        <w:t>ování materiálu</w:t>
      </w:r>
      <w:r w:rsidR="00A1685B">
        <w:t>,</w:t>
      </w:r>
      <w:r w:rsidR="00AE0992">
        <w:t xml:space="preserve"> </w:t>
      </w:r>
      <w:r>
        <w:t>sklad nářadí apod.</w:t>
      </w:r>
      <w:r w:rsidR="00A1685B">
        <w:t xml:space="preserve"> Mimo pozemky stavebníka bude krátkodobé parkování zásobovacích vozidel v ulici Havlíčkova.</w:t>
      </w:r>
    </w:p>
    <w:p w14:paraId="4136545E" w14:textId="77777777" w:rsidR="00EC0D30" w:rsidRPr="00D92B6F" w:rsidRDefault="00EC0D30" w:rsidP="002A5236">
      <w:pPr>
        <w:pStyle w:val="STNADPIS1"/>
      </w:pPr>
      <w:bookmarkStart w:id="7" w:name="_Toc489799264"/>
      <w:r>
        <w:t>M</w:t>
      </w:r>
      <w:r w:rsidRPr="00D92B6F">
        <w:t>aximální produkovaná množ</w:t>
      </w:r>
      <w:r>
        <w:t>ství a druhy odpadů a emisí při </w:t>
      </w:r>
      <w:r w:rsidRPr="00D92B6F">
        <w:t>výstavbě, jejich likvidace</w:t>
      </w:r>
      <w:bookmarkEnd w:id="7"/>
    </w:p>
    <w:p w14:paraId="1DD2CA5B" w14:textId="568CFC5B" w:rsidR="00AE2888" w:rsidRDefault="00AE2888" w:rsidP="00892312">
      <w:pPr>
        <w:pStyle w:val="STNADPIS2"/>
        <w:numPr>
          <w:ilvl w:val="1"/>
          <w:numId w:val="28"/>
        </w:numPr>
      </w:pPr>
      <w:r>
        <w:t>Obecně</w:t>
      </w:r>
    </w:p>
    <w:p w14:paraId="5C4F6167" w14:textId="4264530C" w:rsidR="00EC0D30" w:rsidRPr="005711E1" w:rsidRDefault="00EC0D30" w:rsidP="002D56C2">
      <w:pPr>
        <w:pStyle w:val="Normlnbezmezer"/>
      </w:pPr>
      <w:r w:rsidRPr="00DC570A">
        <w:t>V</w:t>
      </w:r>
      <w:r w:rsidRPr="005711E1">
        <w:t xml:space="preserve"> průběhu výstavby musí zhotovitel dodržovat zejmé</w:t>
      </w:r>
      <w:r>
        <w:t>na stanovení uvedených zákonů a </w:t>
      </w:r>
      <w:r w:rsidRPr="005711E1">
        <w:t>zákonných opatření:</w:t>
      </w:r>
    </w:p>
    <w:p w14:paraId="6C58A2A7" w14:textId="1D957591" w:rsidR="00EC0D30" w:rsidRPr="005711E1" w:rsidRDefault="00EC0D30" w:rsidP="002D56C2">
      <w:pPr>
        <w:pStyle w:val="Normlnbezmezer"/>
        <w:numPr>
          <w:ilvl w:val="0"/>
          <w:numId w:val="23"/>
        </w:numPr>
      </w:pPr>
      <w:r w:rsidRPr="005711E1">
        <w:t>Vyhláška ČBÚ 99/1992</w:t>
      </w:r>
      <w:r w:rsidR="006F3D02">
        <w:t xml:space="preserve"> Sb. </w:t>
      </w:r>
      <w:r w:rsidRPr="005711E1">
        <w:t>o zřizování, provozu, zaj</w:t>
      </w:r>
      <w:r>
        <w:t>ištění a likvidaci zařízení pro </w:t>
      </w:r>
      <w:r w:rsidRPr="005711E1">
        <w:t>ukládání odpadů v podzemních prostorech ve znění pozdějších předpisů;</w:t>
      </w:r>
    </w:p>
    <w:p w14:paraId="1F64D2A3" w14:textId="34170207" w:rsidR="00EC0D30" w:rsidRPr="005711E1" w:rsidRDefault="00EC0D30" w:rsidP="002D56C2">
      <w:pPr>
        <w:pStyle w:val="Normlnbezmezer"/>
        <w:numPr>
          <w:ilvl w:val="0"/>
          <w:numId w:val="23"/>
        </w:numPr>
      </w:pPr>
      <w:r w:rsidRPr="005711E1">
        <w:t>Zákon č.111/1994</w:t>
      </w:r>
      <w:r w:rsidR="006F3D02">
        <w:t xml:space="preserve"> Sb. </w:t>
      </w:r>
      <w:r w:rsidRPr="005711E1">
        <w:t>o silniční dopravě (část I</w:t>
      </w:r>
      <w:r>
        <w:t>II-Přeprava nebezpečných věcí v </w:t>
      </w:r>
      <w:r w:rsidRPr="005711E1">
        <w:t>silniční dopravě) ve znění pozdějších předpisů;</w:t>
      </w:r>
    </w:p>
    <w:p w14:paraId="79F17554" w14:textId="77777777" w:rsidR="00EC0D30" w:rsidRPr="005711E1" w:rsidRDefault="00EC0D30" w:rsidP="002D56C2">
      <w:pPr>
        <w:pStyle w:val="Normlnbezmezer"/>
        <w:numPr>
          <w:ilvl w:val="0"/>
          <w:numId w:val="23"/>
        </w:numPr>
      </w:pPr>
      <w:r w:rsidRPr="005711E1">
        <w:t>Zákon č.185/2001, o odpadech ve znění pozdějších předpisů;</w:t>
      </w:r>
    </w:p>
    <w:p w14:paraId="3F2F079C" w14:textId="338973E0" w:rsidR="00EC0D30" w:rsidRPr="005711E1" w:rsidRDefault="00EC0D30" w:rsidP="002D56C2">
      <w:pPr>
        <w:pStyle w:val="Normlnbezmezer"/>
        <w:numPr>
          <w:ilvl w:val="0"/>
          <w:numId w:val="23"/>
        </w:numPr>
      </w:pPr>
      <w:r w:rsidRPr="005711E1">
        <w:t xml:space="preserve">Vyhláška </w:t>
      </w:r>
      <w:r w:rsidR="002D56C2">
        <w:t>94/2016</w:t>
      </w:r>
      <w:r w:rsidRPr="005711E1">
        <w:t>, o hodnocen</w:t>
      </w:r>
      <w:r>
        <w:t>í nebezpeč</w:t>
      </w:r>
      <w:r w:rsidR="001C3314">
        <w:t>ných</w:t>
      </w:r>
      <w:r w:rsidR="006F3D02">
        <w:t xml:space="preserve"> </w:t>
      </w:r>
      <w:r>
        <w:t>vlastností odpadů ve </w:t>
      </w:r>
      <w:r w:rsidRPr="005711E1">
        <w:t>znění pozdějších předpisů;</w:t>
      </w:r>
    </w:p>
    <w:p w14:paraId="0A43BB53" w14:textId="1EBCA8D9" w:rsidR="00EC0D30" w:rsidRPr="005711E1" w:rsidRDefault="00EC0D30" w:rsidP="002D56C2">
      <w:pPr>
        <w:pStyle w:val="Normlnbezmezer"/>
        <w:numPr>
          <w:ilvl w:val="0"/>
          <w:numId w:val="23"/>
        </w:numPr>
      </w:pPr>
      <w:r w:rsidRPr="005711E1">
        <w:t xml:space="preserve">Vyhláška MŽP </w:t>
      </w:r>
      <w:r w:rsidR="002D56C2">
        <w:t>93/2016</w:t>
      </w:r>
      <w:r w:rsidRPr="005711E1">
        <w:t>, kterou se stanoví Katalog odpadů, Seznam nebezpečných odpadů a seznamy odpadů a s</w:t>
      </w:r>
      <w:r>
        <w:t>tátů pro účely vývozu, dovozu a </w:t>
      </w:r>
      <w:r w:rsidRPr="005711E1">
        <w:t>tranzitu odpadů a postup při udělování souhl</w:t>
      </w:r>
      <w:r>
        <w:t xml:space="preserve">asu k vývozu, dovozu a tranzitu </w:t>
      </w:r>
      <w:r w:rsidRPr="005711E1">
        <w:t>odpadů (Katalog odpadů) ve znění pozdějších předpisů;</w:t>
      </w:r>
    </w:p>
    <w:p w14:paraId="637615D9" w14:textId="77777777" w:rsidR="00EC0D30" w:rsidRPr="005711E1" w:rsidRDefault="00EC0D30" w:rsidP="002D56C2">
      <w:pPr>
        <w:pStyle w:val="Odstavecseseznamem"/>
        <w:numPr>
          <w:ilvl w:val="0"/>
          <w:numId w:val="23"/>
        </w:numPr>
      </w:pPr>
      <w:r w:rsidRPr="005711E1">
        <w:t>Vyhláška MŽP 383/2001, o podrobnostech nakládání s odpady ve znění pozdějších předpisů;</w:t>
      </w:r>
    </w:p>
    <w:p w14:paraId="2A3CD396" w14:textId="77777777" w:rsidR="00EC0D30" w:rsidRPr="005711E1" w:rsidRDefault="00EC0D30" w:rsidP="00892312">
      <w:pPr>
        <w:pStyle w:val="STNADPIS2"/>
        <w:numPr>
          <w:ilvl w:val="1"/>
          <w:numId w:val="28"/>
        </w:numPr>
      </w:pPr>
      <w:bookmarkStart w:id="8" w:name="_Toc489799265"/>
      <w:r w:rsidRPr="005711E1">
        <w:t>Odpady vzniklé během stavby:</w:t>
      </w:r>
      <w:bookmarkEnd w:id="8"/>
    </w:p>
    <w:p w14:paraId="7A8DD976" w14:textId="2DB1CC9A" w:rsidR="00EC0D30" w:rsidRPr="005711E1" w:rsidRDefault="00EC0D30" w:rsidP="00EC0D30">
      <w:r w:rsidRPr="005711E1">
        <w:t xml:space="preserve">Odpady vzniklé během stavby budou likvidovány v jejím průběhu a skončí před jejím předáním do provozu vše na náklady zhotovitele. Hospodaření s odpady na plochách zařízení staveniště bude v souladu s platnými bezpečnostními předpisy včetně manipulace s nebezpečnými látkami. Při </w:t>
      </w:r>
      <w:r w:rsidR="002A5236">
        <w:t xml:space="preserve">případném </w:t>
      </w:r>
      <w:r w:rsidRPr="005711E1">
        <w:t xml:space="preserve">provozování stavebních strojů je zapotřebí dbát na jejich technický stav pro snížení úkapů oleje a ostatních technologických kapalin. </w:t>
      </w:r>
    </w:p>
    <w:p w14:paraId="2EDC7802" w14:textId="77777777" w:rsidR="00EC0D30" w:rsidRPr="005711E1" w:rsidRDefault="00EC0D30" w:rsidP="00EC0D30">
      <w:r w:rsidRPr="005711E1">
        <w:t xml:space="preserve">Demoliční materiál obsahující beton, živice, ocel bude recyklován – zajistí zhotovitel stavby. </w:t>
      </w:r>
    </w:p>
    <w:p w14:paraId="5AF4AD2E" w14:textId="1FCA0D2D" w:rsidR="00EC0D30" w:rsidRPr="005711E1" w:rsidRDefault="00EC0D30" w:rsidP="00EC0D30">
      <w:r w:rsidRPr="005711E1">
        <w:t xml:space="preserve">Během výstavby navrhované </w:t>
      </w:r>
      <w:r w:rsidR="002A5236">
        <w:t>přestavby</w:t>
      </w:r>
      <w:r w:rsidRPr="005711E1">
        <w:t xml:space="preserve"> uvažovaného stávajícího objektu bude vznikat samozřejmě i stavební odpad a to charakteru vybouraných materiálů a</w:t>
      </w:r>
      <w:r>
        <w:t> </w:t>
      </w:r>
      <w:r w:rsidRPr="005711E1">
        <w:t xml:space="preserve">zařízení stávajícího objektu, použitých materiálů nebo poškozených či nefunkčních nových dílů </w:t>
      </w:r>
      <w:r w:rsidRPr="005711E1">
        <w:lastRenderedPageBreak/>
        <w:t xml:space="preserve">a prvků, apod. K nim se budou řadit dále i obaly dodávaných stavebních materiálů, prvků a dílů. </w:t>
      </w:r>
    </w:p>
    <w:p w14:paraId="77A4B059" w14:textId="77777777" w:rsidR="00EC0D30" w:rsidRPr="005711E1" w:rsidRDefault="00EC0D30" w:rsidP="00EC0D30">
      <w:r w:rsidRPr="005711E1">
        <w:t>Veškerý odpad je nutno ze stavby jak během ní, tak především po jejím dokončení odstranit. Nepoužitelný materiál a blíže neurčený směsný stavební odpad bude stavebníkem průběžně odvážen jak k druhotnému využití (recyklaci) tak na odpovídající skládky, většinou mimo hranice města.</w:t>
      </w:r>
    </w:p>
    <w:p w14:paraId="040E4317" w14:textId="77777777" w:rsidR="00EC0D30" w:rsidRPr="005711E1" w:rsidRDefault="00EC0D30" w:rsidP="00EC0D30">
      <w:r w:rsidRPr="005711E1">
        <w:t>Všechny nebezpečné odpady je třeba v souladu s vyhláškou MŽP č.383/2001 Sb., o podrobnostech nakládání s odpady skladovat po dobu jejich umístění na staveništi v uzavřených nepropustných a označených nádobách a likvidovat je osobou oprávněnou k nakládání s nebezpečnými odpady.</w:t>
      </w:r>
    </w:p>
    <w:p w14:paraId="32308D77" w14:textId="77777777" w:rsidR="00EC0D30" w:rsidRPr="005711E1" w:rsidRDefault="00EC0D30" w:rsidP="00EC0D30">
      <w:r w:rsidRPr="005711E1">
        <w:t>Po celou dobu rekonstrukce bude vznikat také směsný odpad produkovaný zaměstnanci stavby, který bude ze stavby odvážen smluvní firmou na skládku TKO.</w:t>
      </w:r>
    </w:p>
    <w:p w14:paraId="0BAFEC58" w14:textId="77777777" w:rsidR="00EC0D30" w:rsidRPr="005711E1" w:rsidRDefault="00EC0D30" w:rsidP="00EC0D30">
      <w:r w:rsidRPr="005711E1">
        <w:t>Odvoz stavebního odpadu musí probíhat po trasách, které budou minimálně obtěžovat okolní zástavbu. Tedy nejkratší trasou ze staveniště na kapacitní komunikace.</w:t>
      </w:r>
    </w:p>
    <w:p w14:paraId="770AA4D6" w14:textId="3A2B2A96" w:rsidR="00EC0D30" w:rsidRPr="005711E1" w:rsidRDefault="00EC0D30" w:rsidP="00EC0D30">
      <w:r w:rsidRPr="005711E1">
        <w:t xml:space="preserve">Původce </w:t>
      </w:r>
      <w:proofErr w:type="gramStart"/>
      <w:r w:rsidRPr="005711E1">
        <w:t>odpadu -</w:t>
      </w:r>
      <w:r w:rsidR="006F3D02">
        <w:t xml:space="preserve"> </w:t>
      </w:r>
      <w:r w:rsidRPr="005711E1">
        <w:t>dodavatel</w:t>
      </w:r>
      <w:proofErr w:type="gramEnd"/>
      <w:r w:rsidRPr="005711E1">
        <w:t xml:space="preserve"> stavby je povinen vést evidenci o množství vzniklého odpadu během výstavby a o způsobu nakládání s tím</w:t>
      </w:r>
      <w:r>
        <w:t>to odpadem, kterou předloží při </w:t>
      </w:r>
      <w:r w:rsidRPr="005711E1">
        <w:t>kolaudaci stavby.</w:t>
      </w:r>
    </w:p>
    <w:p w14:paraId="6E62A0C6" w14:textId="77777777" w:rsidR="00EC0D30" w:rsidRPr="005711E1" w:rsidRDefault="00EC0D30" w:rsidP="00EC0D30">
      <w:r w:rsidRPr="005711E1">
        <w:t>Přehled očekávaných druhů odpadů z výstavby je uveden v následující přehledné tabulce v členění podle Katalogu odpadů.</w:t>
      </w:r>
    </w:p>
    <w:p w14:paraId="58BEAFA8" w14:textId="77777777" w:rsidR="00EC0D30" w:rsidRPr="005711E1" w:rsidRDefault="00EC0D30" w:rsidP="00EC0D30">
      <w:r w:rsidRPr="005711E1">
        <w:t xml:space="preserve">Při kolaudaci předá zhotovitel doklady o skládkování demoličního materiálu a odpadu ze stavby. </w:t>
      </w:r>
    </w:p>
    <w:p w14:paraId="2665B73E" w14:textId="12BACA2B" w:rsidR="00EC0D30" w:rsidRDefault="00EC0D30" w:rsidP="00EC0D30">
      <w:r w:rsidRPr="005711E1">
        <w:t>Nakládání s odpady ze stavby bude řešeno původcem</w:t>
      </w:r>
      <w:r>
        <w:t xml:space="preserve"> odpadu v souladu se zákonem č. </w:t>
      </w:r>
      <w:r w:rsidRPr="005711E1">
        <w:t xml:space="preserve">185/2001 Sb. o odpadech. Původce odpadu ve smyslu zákona bude dodavatel stavby. Při hospodaření s odpady budou respektována ustanovení uvedeného zákona, vyhláška MŽP č. </w:t>
      </w:r>
      <w:r w:rsidR="00AE2888">
        <w:t>93/2016</w:t>
      </w:r>
      <w:r w:rsidRPr="005711E1">
        <w:t xml:space="preserve"> Sb. – Katalog odpadů,</w:t>
      </w:r>
      <w:r>
        <w:t xml:space="preserve"> vyhláška MŽP č. 383/2001 Sb. o </w:t>
      </w:r>
      <w:r w:rsidRPr="005711E1">
        <w:t xml:space="preserve">podrobnostech nakládání s odpady a ostatní prováděcí předpisy. Původce musí s odpady nakládat tak, aby v důsledku této činnosti nedošlo k porušení povinností, vyplývajících z dalších zvláštních předpisů. Při </w:t>
      </w:r>
      <w:r>
        <w:t>demolici bude postupováno podle </w:t>
      </w:r>
      <w:r w:rsidRPr="005711E1">
        <w:t>„Metodického návodu odboru odpadů pro řízení vzniku stavebních a</w:t>
      </w:r>
      <w:r w:rsidR="006F3D02">
        <w:t> </w:t>
      </w:r>
      <w:r w:rsidRPr="005711E1">
        <w:t>demoličních odpadů a pro nakládání s</w:t>
      </w:r>
      <w:r>
        <w:t> </w:t>
      </w:r>
      <w:r w:rsidRPr="005711E1">
        <w:t>nimi</w:t>
      </w:r>
      <w:r>
        <w:t>“</w:t>
      </w:r>
      <w:r w:rsidRPr="005711E1">
        <w:t xml:space="preserve"> Ministerstva životního prostředí z ledna 2008. Stavební odpad bude v maximální míře předán do zařízení, určeného k recyklaci předmětného druhu odpadu.</w:t>
      </w:r>
      <w:r>
        <w:t xml:space="preserve"> </w:t>
      </w:r>
      <w:r w:rsidRPr="005711E1">
        <w:t>Prvotní původce odpadů má povinnost předcházet vzniku odpad</w:t>
      </w:r>
      <w:r>
        <w:t>ů a </w:t>
      </w:r>
      <w:r w:rsidRPr="005711E1">
        <w:t>snižovat jejich množství a nebezpečné vlastnosti.</w:t>
      </w:r>
    </w:p>
    <w:p w14:paraId="27339EFD" w14:textId="66A344F1" w:rsidR="00EC0D30" w:rsidRPr="005711E1" w:rsidRDefault="00EC0D30" w:rsidP="00EC0D30">
      <w:r>
        <w:t>Původce odpadu (§4 odstavec „p“ zákona</w:t>
      </w:r>
      <w:r w:rsidRPr="005711E1">
        <w:t>) je povinen odpady za</w:t>
      </w:r>
      <w:r>
        <w:t>řazovat podle Katalogu odpadů (</w:t>
      </w:r>
      <w:r w:rsidRPr="005711E1">
        <w:t xml:space="preserve">vyhláška č. </w:t>
      </w:r>
      <w:r w:rsidR="00AE2888">
        <w:t>93/2016</w:t>
      </w:r>
      <w:r w:rsidRPr="005711E1">
        <w:t xml:space="preserve"> Sb.) a odpady, které nemůže sám využít, trvale nabízet k využití jiné právnické nebo fyzické osobě. Nelze-li odpady využít, potom </w:t>
      </w:r>
      <w:r w:rsidR="00543175">
        <w:t xml:space="preserve">je třeba </w:t>
      </w:r>
      <w:r w:rsidRPr="005711E1">
        <w:t>zajistit zneškodnění těchto odpadů. Zákon zdůrazňuje povinnost zajistit přednostně využití odpadů recyklace, kompostování atd.) před jejich odstraněním (uložení na</w:t>
      </w:r>
      <w:r w:rsidR="006F3D02">
        <w:t> </w:t>
      </w:r>
      <w:r w:rsidRPr="005711E1">
        <w:t xml:space="preserve">skládku, spálení). Dále je původce odpadu povinen odpad třídit a kontrolovat, </w:t>
      </w:r>
      <w:proofErr w:type="gramStart"/>
      <w:r w:rsidRPr="005711E1">
        <w:t>zda-</w:t>
      </w:r>
      <w:proofErr w:type="spellStart"/>
      <w:r w:rsidRPr="005711E1">
        <w:t>li</w:t>
      </w:r>
      <w:proofErr w:type="spellEnd"/>
      <w:proofErr w:type="gramEnd"/>
      <w:r w:rsidRPr="005711E1">
        <w:t xml:space="preserve"> odpad nemá některou z nebezpečných vlastností. Během výst</w:t>
      </w:r>
      <w:r>
        <w:t>avby je povinen vést evidenci o </w:t>
      </w:r>
      <w:r w:rsidRPr="005711E1">
        <w:t xml:space="preserve">množství odpadu a způsobu nakládání s ním. Způsob vedení evidence je stanoven vyhláškou MŽP č. 383/2001 Sb. o podrobnostech nakládání s odpady. Pro nakládání s nebezpečnými </w:t>
      </w:r>
      <w:proofErr w:type="gramStart"/>
      <w:r w:rsidRPr="005711E1">
        <w:t>odpady  je</w:t>
      </w:r>
      <w:proofErr w:type="gramEnd"/>
      <w:r w:rsidRPr="005711E1">
        <w:t xml:space="preserve"> podle zákona č. 185/2001 Sb. o odpadech, §16,odst.3 nutný souhlas územně příslušného správního úřadu ( podle zákona č.</w:t>
      </w:r>
      <w:r w:rsidR="006F3D02">
        <w:t> </w:t>
      </w:r>
      <w:r w:rsidRPr="005711E1">
        <w:t>320/2002 Sb. ), který musí být vydán před zahájením stavebních prací. Odpady, vzniklé ze stavby, budou předány k využití nebo zneškodnění pouze oprávněné osobě (dle §12 odst. 3 a 4 zákona č. 185/2001 Sb.). Původce odpadu je zodpovědný za</w:t>
      </w:r>
      <w:r w:rsidR="006F3D02">
        <w:t> </w:t>
      </w:r>
      <w:r>
        <w:t>nakládání s odpady do doby, než </w:t>
      </w:r>
      <w:r w:rsidRPr="005711E1">
        <w:t xml:space="preserve">jsou tyto předány oprávněné osobě.  </w:t>
      </w:r>
    </w:p>
    <w:p w14:paraId="0267251C" w14:textId="77777777" w:rsidR="00EC0D30" w:rsidRPr="005711E1" w:rsidRDefault="00EC0D30" w:rsidP="00892312">
      <w:pPr>
        <w:pStyle w:val="STNADPIS2"/>
        <w:numPr>
          <w:ilvl w:val="1"/>
          <w:numId w:val="28"/>
        </w:numPr>
      </w:pPr>
      <w:bookmarkStart w:id="9" w:name="_Toc86650434"/>
      <w:bookmarkStart w:id="10" w:name="_Toc160932977"/>
      <w:bookmarkStart w:id="11" w:name="_Toc489799266"/>
      <w:r w:rsidRPr="005711E1">
        <w:t>Způsob likvidace odpadu ze stavební činnosti</w:t>
      </w:r>
      <w:bookmarkEnd w:id="9"/>
      <w:bookmarkEnd w:id="10"/>
      <w:bookmarkEnd w:id="11"/>
    </w:p>
    <w:p w14:paraId="4A074471" w14:textId="091665F4" w:rsidR="00EC0D30" w:rsidRPr="005711E1" w:rsidRDefault="00EC0D30" w:rsidP="00EC0D30">
      <w:r w:rsidRPr="005711E1">
        <w:t>Odpadový materiál, vzniklý při demolici stávajících konstrukcí a při stavební činnost</w:t>
      </w:r>
      <w:r w:rsidR="00543175">
        <w:t>i</w:t>
      </w:r>
      <w:r w:rsidRPr="005711E1">
        <w:t xml:space="preserve"> bude likvidován v souladu se zákonem č. 185/2001 Sb. O odpadech a o změně některých dalších zákonů, ve znění pozdějších změn (dále jen zákon o odpadech)</w:t>
      </w:r>
      <w:r w:rsidR="00892312">
        <w:t>.</w:t>
      </w:r>
    </w:p>
    <w:p w14:paraId="13D96F68" w14:textId="211165AF" w:rsidR="00EC0D30" w:rsidRPr="005711E1" w:rsidRDefault="00EC0D30" w:rsidP="00EC0D30">
      <w:r w:rsidRPr="005711E1">
        <w:t xml:space="preserve">Vybourané materiály a odpad budou na staveništi </w:t>
      </w:r>
      <w:r>
        <w:t>tříděny a ukládány buď přímo na </w:t>
      </w:r>
      <w:r w:rsidRPr="005711E1">
        <w:t>transportní vozidla, nebo do kontejnerů, umístěných na ploše staveniště pro</w:t>
      </w:r>
      <w:r w:rsidR="00892312">
        <w:t> </w:t>
      </w:r>
      <w:r w:rsidRPr="005711E1">
        <w:t>následný odvoz. Přednostně budou odpady druhotně využit</w:t>
      </w:r>
      <w:r>
        <w:t xml:space="preserve">é (stavební recykláž, případně </w:t>
      </w:r>
      <w:r w:rsidRPr="005711E1">
        <w:t>železo). Materiálové využití</w:t>
      </w:r>
      <w:r>
        <w:t xml:space="preserve"> bude mít přednost před jejich </w:t>
      </w:r>
      <w:r w:rsidRPr="005711E1">
        <w:t>uložením na</w:t>
      </w:r>
      <w:r w:rsidR="00892312">
        <w:t> </w:t>
      </w:r>
      <w:r w:rsidRPr="005711E1">
        <w:t>skládku nebo jiným využitím odpadů. Odpady budou předány pouze oso</w:t>
      </w:r>
      <w:r>
        <w:t>bám, které</w:t>
      </w:r>
      <w:r w:rsidR="00892312">
        <w:t> </w:t>
      </w:r>
      <w:r>
        <w:t>jsou dle zákona o </w:t>
      </w:r>
      <w:r w:rsidRPr="005711E1">
        <w:t>odpadech k jejich převzetí oprávněny. Ke kolaudaci budou předloženy doklady o</w:t>
      </w:r>
      <w:r>
        <w:t> </w:t>
      </w:r>
      <w:r w:rsidRPr="005711E1">
        <w:t>způsobu odstranění odpadů ze stavební činnosti, pokud jejich další využití na stavbě není možné, a evidence odpadů ze stavby.</w:t>
      </w:r>
    </w:p>
    <w:p w14:paraId="18D7F3DF" w14:textId="3D3E7488" w:rsidR="00EC0D30" w:rsidRPr="005711E1" w:rsidRDefault="00EC0D30" w:rsidP="00892312">
      <w:pPr>
        <w:pStyle w:val="STNADPIS2"/>
        <w:numPr>
          <w:ilvl w:val="1"/>
          <w:numId w:val="28"/>
        </w:numPr>
      </w:pPr>
      <w:bookmarkStart w:id="12" w:name="_Toc489799267"/>
      <w:r w:rsidRPr="0024622B">
        <w:t>Přehled výměr hlavních druhů odpadů z výstavby</w:t>
      </w:r>
      <w:bookmarkEnd w:id="12"/>
      <w:r w:rsidRPr="0024622B">
        <w:t xml:space="preserve"> </w:t>
      </w:r>
    </w:p>
    <w:tbl>
      <w:tblPr>
        <w:tblW w:w="9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9"/>
        <w:gridCol w:w="759"/>
        <w:gridCol w:w="3518"/>
        <w:gridCol w:w="3544"/>
      </w:tblGrid>
      <w:tr w:rsidR="002A5236" w14:paraId="64CCCEBB" w14:textId="77777777" w:rsidTr="002A5236">
        <w:trPr>
          <w:cantSplit/>
          <w:tblHeader/>
        </w:trPr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F41BFD" w14:textId="77777777" w:rsidR="002A5236" w:rsidRDefault="002A5236">
            <w:pPr>
              <w:pStyle w:val="STTABULKY"/>
              <w:spacing w:line="256" w:lineRule="auto"/>
              <w:rPr>
                <w:sz w:val="18"/>
              </w:rPr>
            </w:pPr>
            <w:r>
              <w:t>Kód druhu odpadu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E2772D" w14:textId="77777777" w:rsidR="002A5236" w:rsidRDefault="002A5236">
            <w:pPr>
              <w:pStyle w:val="STTABULKY"/>
              <w:spacing w:line="256" w:lineRule="auto"/>
            </w:pPr>
            <w:proofErr w:type="spellStart"/>
            <w:r>
              <w:t>Kateg</w:t>
            </w:r>
            <w:proofErr w:type="spellEnd"/>
            <w:r>
              <w:t>.</w:t>
            </w:r>
          </w:p>
        </w:tc>
        <w:tc>
          <w:tcPr>
            <w:tcW w:w="35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02D103" w14:textId="77777777" w:rsidR="002A5236" w:rsidRDefault="002A5236">
            <w:pPr>
              <w:pStyle w:val="STTABULKY"/>
              <w:spacing w:line="256" w:lineRule="auto"/>
            </w:pPr>
            <w:r>
              <w:t>Název druhu odpadu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0B194DDD" w14:textId="77777777" w:rsidR="002A5236" w:rsidRDefault="002A5236">
            <w:pPr>
              <w:pStyle w:val="STTABULKY"/>
              <w:spacing w:line="256" w:lineRule="auto"/>
            </w:pPr>
            <w:r>
              <w:t>Způsob vzniku odpadu</w:t>
            </w:r>
          </w:p>
        </w:tc>
      </w:tr>
      <w:tr w:rsidR="002A5236" w14:paraId="1F2C0D7A" w14:textId="77777777" w:rsidTr="002A5236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C5A9" w14:textId="77777777" w:rsidR="002A5236" w:rsidRDefault="002A5236">
            <w:pPr>
              <w:pStyle w:val="STTABULKY"/>
              <w:spacing w:line="256" w:lineRule="auto"/>
            </w:pPr>
            <w:r>
              <w:t>08 01, 08 02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A330" w14:textId="77777777" w:rsidR="002A5236" w:rsidRDefault="002A5236">
            <w:pPr>
              <w:pStyle w:val="STTABULKY"/>
              <w:spacing w:line="256" w:lineRule="auto"/>
            </w:pPr>
            <w:r>
              <w:t>O, N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2428" w14:textId="77777777" w:rsidR="002A5236" w:rsidRDefault="002A5236">
            <w:pPr>
              <w:pStyle w:val="STTABULKY"/>
              <w:spacing w:line="256" w:lineRule="auto"/>
            </w:pPr>
            <w:r>
              <w:t>odpady z výroby a použití nátěrových hmot, ostatních nátěr. hmot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46E374" w14:textId="77777777" w:rsidR="002A5236" w:rsidRDefault="002A5236">
            <w:pPr>
              <w:pStyle w:val="STTABULKY"/>
              <w:spacing w:line="256" w:lineRule="auto"/>
            </w:pPr>
            <w:r>
              <w:t>plechovky od barev a nátěrů</w:t>
            </w:r>
          </w:p>
          <w:p w14:paraId="6490B992" w14:textId="77777777" w:rsidR="002A5236" w:rsidRDefault="002A5236">
            <w:pPr>
              <w:pStyle w:val="STTABULKY"/>
              <w:spacing w:line="256" w:lineRule="auto"/>
            </w:pPr>
            <w:r>
              <w:t>(konkrétní zatřídění provede dodavatel)</w:t>
            </w:r>
          </w:p>
        </w:tc>
      </w:tr>
      <w:tr w:rsidR="002A5236" w14:paraId="5EE98059" w14:textId="77777777" w:rsidTr="002A5236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DC953" w14:textId="77777777" w:rsidR="002A5236" w:rsidRDefault="002A5236">
            <w:pPr>
              <w:pStyle w:val="STTABULKY"/>
              <w:spacing w:line="256" w:lineRule="auto"/>
            </w:pPr>
            <w:r>
              <w:t>17 02 01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6459" w14:textId="77777777" w:rsidR="002A5236" w:rsidRDefault="002A5236">
            <w:pPr>
              <w:pStyle w:val="STTABULKY"/>
              <w:spacing w:line="256" w:lineRule="auto"/>
            </w:pPr>
            <w:r>
              <w:t>O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7317" w14:textId="77777777" w:rsidR="002A5236" w:rsidRDefault="002A5236">
            <w:pPr>
              <w:pStyle w:val="STTABULKY"/>
              <w:spacing w:line="256" w:lineRule="auto"/>
            </w:pPr>
            <w:r>
              <w:t>dřevo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82FB24" w14:textId="77777777" w:rsidR="002A5236" w:rsidRDefault="002A5236">
            <w:pPr>
              <w:pStyle w:val="STTABULKY"/>
              <w:spacing w:line="256" w:lineRule="auto"/>
            </w:pPr>
            <w:r>
              <w:t>pažení, dočasné podpůrné a pomocné konstrukce, podhled</w:t>
            </w:r>
          </w:p>
        </w:tc>
      </w:tr>
      <w:tr w:rsidR="002A5236" w14:paraId="21CE6DEB" w14:textId="77777777" w:rsidTr="002A5236">
        <w:trPr>
          <w:cantSplit/>
          <w:trHeight w:val="460"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C24E" w14:textId="77777777" w:rsidR="002A5236" w:rsidRDefault="002A5236">
            <w:pPr>
              <w:pStyle w:val="STTABULKY"/>
              <w:spacing w:line="256" w:lineRule="auto"/>
            </w:pPr>
            <w:r>
              <w:t>17.02.02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FA5C" w14:textId="77777777" w:rsidR="002A5236" w:rsidRDefault="002A5236">
            <w:pPr>
              <w:pStyle w:val="STTABULKY"/>
              <w:spacing w:line="256" w:lineRule="auto"/>
            </w:pPr>
            <w:r>
              <w:t>O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74F6" w14:textId="77777777" w:rsidR="002A5236" w:rsidRDefault="002A5236">
            <w:pPr>
              <w:pStyle w:val="STTABULKY"/>
              <w:spacing w:line="256" w:lineRule="auto"/>
            </w:pPr>
            <w:r>
              <w:t>sklo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DBDD88" w14:textId="77777777" w:rsidR="002A5236" w:rsidRDefault="002A5236">
            <w:pPr>
              <w:pStyle w:val="STTABULKY"/>
              <w:spacing w:line="256" w:lineRule="auto"/>
            </w:pPr>
            <w:r>
              <w:t>při bourání výplní otvorů</w:t>
            </w:r>
          </w:p>
        </w:tc>
      </w:tr>
      <w:tr w:rsidR="002A5236" w14:paraId="6D72C548" w14:textId="77777777" w:rsidTr="002A5236">
        <w:trPr>
          <w:cantSplit/>
          <w:trHeight w:val="460"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9D1A" w14:textId="77777777" w:rsidR="002A5236" w:rsidRDefault="002A5236">
            <w:pPr>
              <w:pStyle w:val="STTABULKY"/>
              <w:spacing w:line="256" w:lineRule="auto"/>
            </w:pPr>
            <w:r>
              <w:t>03 01 04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A1EB" w14:textId="77777777" w:rsidR="002A5236" w:rsidRDefault="002A5236">
            <w:pPr>
              <w:pStyle w:val="STTABULKY"/>
              <w:spacing w:line="256" w:lineRule="auto"/>
            </w:pPr>
            <w:r>
              <w:t>N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AC67" w14:textId="77777777" w:rsidR="002A5236" w:rsidRDefault="002A5236">
            <w:pPr>
              <w:pStyle w:val="STTABULKY"/>
              <w:spacing w:line="256" w:lineRule="auto"/>
            </w:pPr>
            <w:r>
              <w:t xml:space="preserve">odpady při výrobě a úpravě dřevotřískových desek nábytku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48EB2C" w14:textId="77777777" w:rsidR="002A5236" w:rsidRDefault="002A5236">
            <w:pPr>
              <w:pStyle w:val="STTABULKY"/>
              <w:spacing w:line="256" w:lineRule="auto"/>
            </w:pPr>
            <w:r>
              <w:t xml:space="preserve">úprava tvarů dovezených komponent na místě </w:t>
            </w:r>
          </w:p>
        </w:tc>
      </w:tr>
      <w:tr w:rsidR="002A5236" w14:paraId="76E7FCC0" w14:textId="77777777" w:rsidTr="002A5236">
        <w:trPr>
          <w:cantSplit/>
          <w:trHeight w:val="460"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543D" w14:textId="77777777" w:rsidR="002A5236" w:rsidRDefault="002A5236">
            <w:pPr>
              <w:pStyle w:val="STTABULKY"/>
              <w:spacing w:line="256" w:lineRule="auto"/>
            </w:pPr>
            <w:r>
              <w:t>08 01 11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9662" w14:textId="77777777" w:rsidR="002A5236" w:rsidRDefault="002A5236">
            <w:pPr>
              <w:pStyle w:val="STTABULKY"/>
              <w:spacing w:line="256" w:lineRule="auto"/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E87F" w14:textId="77777777" w:rsidR="002A5236" w:rsidRDefault="002A5236">
            <w:pPr>
              <w:pStyle w:val="STTABULKY"/>
              <w:spacing w:line="256" w:lineRule="auto"/>
            </w:pPr>
            <w:r>
              <w:rPr>
                <w:shd w:val="clear" w:color="auto" w:fill="FFFFFF"/>
              </w:rPr>
              <w:t>odpadní barvy a laky obsahující organická rozpouštědla nebo jiné nebezpečné látky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342121" w14:textId="77777777" w:rsidR="002A5236" w:rsidRDefault="002A5236">
            <w:pPr>
              <w:pStyle w:val="STTABULKY"/>
              <w:spacing w:line="256" w:lineRule="auto"/>
            </w:pPr>
            <w:r>
              <w:t>konečné úpravy povrchů vybraných konstrukcí</w:t>
            </w:r>
          </w:p>
        </w:tc>
      </w:tr>
      <w:tr w:rsidR="002A5236" w14:paraId="7DA3FFA2" w14:textId="77777777" w:rsidTr="002A5236">
        <w:trPr>
          <w:cantSplit/>
          <w:trHeight w:val="460"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4511" w14:textId="77777777" w:rsidR="002A5236" w:rsidRDefault="002A5236">
            <w:pPr>
              <w:pStyle w:val="STTABULKY"/>
              <w:spacing w:line="256" w:lineRule="auto"/>
            </w:pPr>
            <w:r>
              <w:t>08 01 12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65A1" w14:textId="77777777" w:rsidR="002A5236" w:rsidRDefault="002A5236">
            <w:pPr>
              <w:pStyle w:val="STTABULKY"/>
              <w:spacing w:line="256" w:lineRule="auto"/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C421" w14:textId="77777777" w:rsidR="002A5236" w:rsidRDefault="002A5236">
            <w:pPr>
              <w:pStyle w:val="STTABULKY"/>
              <w:spacing w:line="256" w:lineRule="auto"/>
            </w:pPr>
            <w:r>
              <w:rPr>
                <w:shd w:val="clear" w:color="auto" w:fill="FFFFFF"/>
              </w:rPr>
              <w:t>jiné odpadní barvy a laky neuvedené pod číslem 08 01 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89FC62" w14:textId="77777777" w:rsidR="002A5236" w:rsidRDefault="002A5236">
            <w:pPr>
              <w:pStyle w:val="STTABULKY"/>
              <w:spacing w:line="256" w:lineRule="auto"/>
            </w:pPr>
            <w:r>
              <w:t>konečné úpravy povrchů vybraných konstrukcí</w:t>
            </w:r>
          </w:p>
        </w:tc>
      </w:tr>
      <w:tr w:rsidR="002A5236" w14:paraId="28E4CCCA" w14:textId="77777777" w:rsidTr="002A5236">
        <w:trPr>
          <w:cantSplit/>
          <w:trHeight w:val="460"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E75C" w14:textId="77777777" w:rsidR="002A5236" w:rsidRDefault="002A5236">
            <w:pPr>
              <w:pStyle w:val="STTABULKY"/>
              <w:spacing w:line="256" w:lineRule="auto"/>
            </w:pPr>
            <w:r>
              <w:t xml:space="preserve">15 01 01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717C" w14:textId="77777777" w:rsidR="002A5236" w:rsidRDefault="002A5236">
            <w:pPr>
              <w:pStyle w:val="STTABULKY"/>
              <w:spacing w:line="256" w:lineRule="auto"/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A3AD" w14:textId="77777777" w:rsidR="002A5236" w:rsidRDefault="002A5236">
            <w:pPr>
              <w:pStyle w:val="STTABULKY"/>
              <w:spacing w:line="256" w:lineRule="auto"/>
            </w:pPr>
            <w:r>
              <w:t>papírové a lepenkové obaly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FBE09E" w14:textId="77777777" w:rsidR="002A5236" w:rsidRDefault="002A5236">
            <w:pPr>
              <w:pStyle w:val="STTABULKY"/>
              <w:spacing w:line="256" w:lineRule="auto"/>
            </w:pPr>
          </w:p>
        </w:tc>
      </w:tr>
      <w:tr w:rsidR="002A5236" w14:paraId="268A9281" w14:textId="77777777" w:rsidTr="002A5236">
        <w:trPr>
          <w:cantSplit/>
          <w:trHeight w:val="460"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2E7B" w14:textId="77777777" w:rsidR="002A5236" w:rsidRDefault="002A5236">
            <w:pPr>
              <w:pStyle w:val="STTABULKY"/>
              <w:spacing w:line="256" w:lineRule="auto"/>
            </w:pPr>
            <w:r>
              <w:t>15 01 02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215E" w14:textId="77777777" w:rsidR="002A5236" w:rsidRDefault="002A5236">
            <w:pPr>
              <w:pStyle w:val="STTABULKY"/>
              <w:spacing w:line="256" w:lineRule="auto"/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D037" w14:textId="77777777" w:rsidR="002A5236" w:rsidRDefault="002A5236">
            <w:pPr>
              <w:pStyle w:val="STTABULKY"/>
              <w:spacing w:line="256" w:lineRule="auto"/>
            </w:pPr>
            <w:r>
              <w:t>plastové obaly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5A93E" w14:textId="77777777" w:rsidR="002A5236" w:rsidRDefault="002A5236">
            <w:pPr>
              <w:pStyle w:val="STTABULKY"/>
              <w:spacing w:line="256" w:lineRule="auto"/>
            </w:pPr>
          </w:p>
        </w:tc>
      </w:tr>
      <w:tr w:rsidR="002A5236" w14:paraId="436F4EC3" w14:textId="77777777" w:rsidTr="002A5236">
        <w:trPr>
          <w:cantSplit/>
          <w:trHeight w:val="460"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36AE" w14:textId="77777777" w:rsidR="002A5236" w:rsidRDefault="002A5236">
            <w:pPr>
              <w:pStyle w:val="STTABULKY"/>
              <w:spacing w:line="256" w:lineRule="auto"/>
            </w:pPr>
            <w:r>
              <w:t xml:space="preserve">15 01 03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868E" w14:textId="77777777" w:rsidR="002A5236" w:rsidRDefault="002A5236">
            <w:pPr>
              <w:pStyle w:val="STTABULKY"/>
              <w:spacing w:line="256" w:lineRule="auto"/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CB27" w14:textId="77777777" w:rsidR="002A5236" w:rsidRDefault="002A5236">
            <w:pPr>
              <w:pStyle w:val="STTABULKY"/>
              <w:spacing w:line="256" w:lineRule="auto"/>
            </w:pPr>
            <w:r>
              <w:t>dřevěné obaly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981A5" w14:textId="77777777" w:rsidR="002A5236" w:rsidRDefault="002A5236">
            <w:pPr>
              <w:pStyle w:val="STTABULKY"/>
              <w:spacing w:line="256" w:lineRule="auto"/>
            </w:pPr>
          </w:p>
        </w:tc>
      </w:tr>
      <w:tr w:rsidR="002A5236" w14:paraId="2CEF96A3" w14:textId="77777777" w:rsidTr="002A5236">
        <w:trPr>
          <w:cantSplit/>
          <w:trHeight w:val="460"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50B" w14:textId="77777777" w:rsidR="002A5236" w:rsidRDefault="002A5236">
            <w:pPr>
              <w:pStyle w:val="STTABULKY"/>
              <w:spacing w:line="256" w:lineRule="auto"/>
            </w:pPr>
            <w:r>
              <w:t>17 02 03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F78C" w14:textId="77777777" w:rsidR="002A5236" w:rsidRDefault="002A5236">
            <w:pPr>
              <w:pStyle w:val="STTABULKY"/>
              <w:spacing w:line="256" w:lineRule="auto"/>
            </w:pPr>
            <w:r>
              <w:t>O</w:t>
            </w:r>
          </w:p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7374" w14:textId="77777777" w:rsidR="002A5236" w:rsidRDefault="002A5236">
            <w:pPr>
              <w:pStyle w:val="STTABULKY"/>
              <w:spacing w:line="256" w:lineRule="auto"/>
            </w:pPr>
            <w:r>
              <w:t>plasty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71E876" w14:textId="77777777" w:rsidR="002A5236" w:rsidRDefault="002A5236">
            <w:pPr>
              <w:pStyle w:val="STTABULKY"/>
              <w:spacing w:line="256" w:lineRule="auto"/>
            </w:pPr>
            <w:r>
              <w:t>PVC podlahy, fólie PE</w:t>
            </w:r>
          </w:p>
        </w:tc>
      </w:tr>
      <w:tr w:rsidR="002A5236" w14:paraId="287BD827" w14:textId="77777777" w:rsidTr="002A5236">
        <w:trPr>
          <w:cantSplit/>
          <w:trHeight w:val="460"/>
        </w:trPr>
        <w:tc>
          <w:tcPr>
            <w:tcW w:w="123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2C5A7" w14:textId="77777777" w:rsidR="002A5236" w:rsidRDefault="002A5236">
            <w:pPr>
              <w:spacing w:after="0"/>
              <w:jc w:val="left"/>
              <w:rPr>
                <w:color w:val="262626" w:themeColor="text1" w:themeTint="D9"/>
                <w:sz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863A" w14:textId="77777777" w:rsidR="002A5236" w:rsidRDefault="002A5236">
            <w:pPr>
              <w:spacing w:after="0"/>
              <w:jc w:val="left"/>
              <w:rPr>
                <w:color w:val="262626" w:themeColor="text1" w:themeTint="D9"/>
                <w:sz w:val="18"/>
              </w:rPr>
            </w:pPr>
          </w:p>
        </w:tc>
        <w:tc>
          <w:tcPr>
            <w:tcW w:w="3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262E" w14:textId="77777777" w:rsidR="002A5236" w:rsidRDefault="002A5236">
            <w:pPr>
              <w:spacing w:after="0"/>
              <w:jc w:val="left"/>
              <w:rPr>
                <w:color w:val="262626" w:themeColor="text1" w:themeTint="D9"/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8474A6" w14:textId="77777777" w:rsidR="002A5236" w:rsidRDefault="002A5236">
            <w:pPr>
              <w:pStyle w:val="STTABULKY"/>
              <w:spacing w:line="256" w:lineRule="auto"/>
            </w:pPr>
            <w:r>
              <w:t>potrubí z PE a PVC (kanalizace, vodovod, plynovod) – prořezy</w:t>
            </w:r>
          </w:p>
        </w:tc>
      </w:tr>
      <w:tr w:rsidR="002A5236" w14:paraId="115CE0BF" w14:textId="77777777" w:rsidTr="002A5236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0D76" w14:textId="77777777" w:rsidR="002A5236" w:rsidRDefault="002A5236">
            <w:pPr>
              <w:pStyle w:val="STTABULKY"/>
              <w:spacing w:line="256" w:lineRule="auto"/>
            </w:pPr>
            <w:r>
              <w:t>17 04 01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31AD" w14:textId="77777777" w:rsidR="002A5236" w:rsidRDefault="002A5236">
            <w:pPr>
              <w:pStyle w:val="STTABULKY"/>
              <w:spacing w:line="256" w:lineRule="auto"/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6A1A" w14:textId="77777777" w:rsidR="002A5236" w:rsidRDefault="002A5236">
            <w:pPr>
              <w:pStyle w:val="STTABULKY"/>
              <w:spacing w:line="256" w:lineRule="auto"/>
            </w:pPr>
            <w:r>
              <w:t>barevné kovy (měď, bronz, mosaz)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B24063" w14:textId="77777777" w:rsidR="002A5236" w:rsidRDefault="002A5236">
            <w:pPr>
              <w:pStyle w:val="STTABULKY"/>
              <w:spacing w:line="256" w:lineRule="auto"/>
            </w:pPr>
            <w:r>
              <w:t>zbytky po montáži zařízení</w:t>
            </w:r>
          </w:p>
        </w:tc>
      </w:tr>
      <w:tr w:rsidR="002A5236" w14:paraId="243D9665" w14:textId="77777777" w:rsidTr="002A5236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BD81" w14:textId="77777777" w:rsidR="002A5236" w:rsidRDefault="002A5236">
            <w:pPr>
              <w:pStyle w:val="STTABULKY"/>
              <w:spacing w:line="256" w:lineRule="auto"/>
            </w:pPr>
            <w:r>
              <w:t>17 04 02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C797" w14:textId="77777777" w:rsidR="002A5236" w:rsidRDefault="002A5236">
            <w:pPr>
              <w:pStyle w:val="STTABULKY"/>
              <w:spacing w:line="256" w:lineRule="auto"/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E1DF" w14:textId="77777777" w:rsidR="002A5236" w:rsidRDefault="002A5236">
            <w:pPr>
              <w:pStyle w:val="STTABULKY"/>
              <w:spacing w:line="256" w:lineRule="auto"/>
            </w:pPr>
            <w:r>
              <w:t>hliník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26DEC9" w14:textId="77777777" w:rsidR="002A5236" w:rsidRDefault="002A5236">
            <w:pPr>
              <w:pStyle w:val="STTABULKY"/>
              <w:spacing w:line="256" w:lineRule="auto"/>
            </w:pPr>
            <w:r>
              <w:t>zbytky po montáži zařízení</w:t>
            </w:r>
          </w:p>
        </w:tc>
      </w:tr>
      <w:tr w:rsidR="002A5236" w14:paraId="041A74F8" w14:textId="77777777" w:rsidTr="002A5236">
        <w:trPr>
          <w:cantSplit/>
          <w:trHeight w:val="562"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6C97" w14:textId="77777777" w:rsidR="002A5236" w:rsidRDefault="002A5236">
            <w:pPr>
              <w:pStyle w:val="STTABULKY"/>
              <w:spacing w:line="256" w:lineRule="auto"/>
            </w:pPr>
            <w:r>
              <w:t>17 04 05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5DD21" w14:textId="77777777" w:rsidR="002A5236" w:rsidRDefault="002A5236">
            <w:pPr>
              <w:pStyle w:val="STTABULKY"/>
              <w:spacing w:line="256" w:lineRule="auto"/>
            </w:pPr>
            <w:r>
              <w:t>O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39FE" w14:textId="77777777" w:rsidR="002A5236" w:rsidRDefault="002A5236">
            <w:pPr>
              <w:pStyle w:val="STTABULKY"/>
              <w:spacing w:line="256" w:lineRule="auto"/>
            </w:pPr>
            <w:r>
              <w:t>železo a ocel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4A9A9D" w14:textId="77777777" w:rsidR="002A5236" w:rsidRDefault="002A5236">
            <w:pPr>
              <w:pStyle w:val="STTABULKY"/>
              <w:spacing w:line="256" w:lineRule="auto"/>
            </w:pPr>
            <w:r>
              <w:t>ocel. konstrukce</w:t>
            </w:r>
          </w:p>
        </w:tc>
      </w:tr>
      <w:tr w:rsidR="002A5236" w14:paraId="6DD9C78C" w14:textId="77777777" w:rsidTr="002A5236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125B" w14:textId="77777777" w:rsidR="002A5236" w:rsidRDefault="002A5236">
            <w:pPr>
              <w:pStyle w:val="STTABULKY"/>
              <w:spacing w:line="256" w:lineRule="auto"/>
            </w:pPr>
            <w:r>
              <w:t>17 04 11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F2BE" w14:textId="77777777" w:rsidR="002A5236" w:rsidRDefault="002A5236">
            <w:pPr>
              <w:pStyle w:val="STTABULKY"/>
              <w:spacing w:line="256" w:lineRule="auto"/>
            </w:pPr>
            <w:r>
              <w:t>O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3A05" w14:textId="77777777" w:rsidR="002A5236" w:rsidRDefault="002A5236">
            <w:pPr>
              <w:pStyle w:val="STTABULKY"/>
              <w:spacing w:line="256" w:lineRule="auto"/>
            </w:pPr>
            <w:r>
              <w:t>kabely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A180DF" w14:textId="77777777" w:rsidR="002A5236" w:rsidRDefault="002A5236">
            <w:pPr>
              <w:pStyle w:val="STTABULKY"/>
              <w:spacing w:line="256" w:lineRule="auto"/>
            </w:pPr>
            <w:r>
              <w:t>zbytky kabelů při pokládání sítí, odstraňování stávajících sítí</w:t>
            </w:r>
          </w:p>
        </w:tc>
      </w:tr>
      <w:tr w:rsidR="002A5236" w14:paraId="474360F2" w14:textId="77777777" w:rsidTr="002A5236">
        <w:trPr>
          <w:cantSplit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4337" w14:textId="77777777" w:rsidR="002A5236" w:rsidRDefault="002A5236">
            <w:pPr>
              <w:pStyle w:val="STTABULKY"/>
              <w:spacing w:line="256" w:lineRule="auto"/>
            </w:pPr>
            <w:r>
              <w:t>17 06 04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6A7A" w14:textId="77777777" w:rsidR="002A5236" w:rsidRDefault="002A5236">
            <w:pPr>
              <w:pStyle w:val="STTABULKY"/>
              <w:spacing w:line="256" w:lineRule="auto"/>
            </w:pPr>
            <w:r>
              <w:t>O</w:t>
            </w:r>
          </w:p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8776" w14:textId="77777777" w:rsidR="002A5236" w:rsidRDefault="002A5236">
            <w:pPr>
              <w:pStyle w:val="STTABULKY"/>
              <w:spacing w:line="256" w:lineRule="auto"/>
            </w:pPr>
            <w:r>
              <w:t>Izolační materiály     neuvedené pod č. 17 06 01 a 17 06 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FA9C1A" w14:textId="77777777" w:rsidR="002A5236" w:rsidRDefault="002A5236">
            <w:pPr>
              <w:pStyle w:val="STTABULKY"/>
              <w:spacing w:line="256" w:lineRule="auto"/>
            </w:pPr>
            <w:r>
              <w:t>izolace z minerálních vláken</w:t>
            </w:r>
          </w:p>
        </w:tc>
      </w:tr>
      <w:tr w:rsidR="002A5236" w14:paraId="35543C8A" w14:textId="77777777" w:rsidTr="002A5236">
        <w:trPr>
          <w:cantSplit/>
        </w:trPr>
        <w:tc>
          <w:tcPr>
            <w:tcW w:w="123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AF309" w14:textId="77777777" w:rsidR="002A5236" w:rsidRDefault="002A5236">
            <w:pPr>
              <w:spacing w:after="0"/>
              <w:jc w:val="left"/>
              <w:rPr>
                <w:color w:val="262626" w:themeColor="text1" w:themeTint="D9"/>
                <w:sz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9948" w14:textId="77777777" w:rsidR="002A5236" w:rsidRDefault="002A5236">
            <w:pPr>
              <w:spacing w:after="0"/>
              <w:jc w:val="left"/>
              <w:rPr>
                <w:color w:val="262626" w:themeColor="text1" w:themeTint="D9"/>
                <w:sz w:val="18"/>
              </w:rPr>
            </w:pPr>
          </w:p>
        </w:tc>
        <w:tc>
          <w:tcPr>
            <w:tcW w:w="3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201E" w14:textId="77777777" w:rsidR="002A5236" w:rsidRDefault="002A5236">
            <w:pPr>
              <w:spacing w:after="0"/>
              <w:jc w:val="left"/>
              <w:rPr>
                <w:color w:val="262626" w:themeColor="text1" w:themeTint="D9"/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780B3F" w14:textId="77777777" w:rsidR="002A5236" w:rsidRDefault="002A5236">
            <w:pPr>
              <w:pStyle w:val="STTABULKY"/>
              <w:spacing w:line="256" w:lineRule="auto"/>
            </w:pPr>
            <w:r>
              <w:t>izolační pásy, polystyrén</w:t>
            </w:r>
          </w:p>
        </w:tc>
      </w:tr>
      <w:tr w:rsidR="002A5236" w14:paraId="20ED388F" w14:textId="77777777" w:rsidTr="002A5236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4D00" w14:textId="77777777" w:rsidR="002A5236" w:rsidRDefault="002A5236">
            <w:pPr>
              <w:pStyle w:val="STTABULKY"/>
              <w:spacing w:line="256" w:lineRule="auto"/>
            </w:pPr>
            <w:r>
              <w:t>17 08 02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F528" w14:textId="77777777" w:rsidR="002A5236" w:rsidRDefault="002A5236">
            <w:pPr>
              <w:pStyle w:val="STTABULKY"/>
              <w:spacing w:line="256" w:lineRule="auto"/>
            </w:pPr>
            <w:r>
              <w:t>O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D89E" w14:textId="77777777" w:rsidR="002A5236" w:rsidRDefault="002A5236">
            <w:pPr>
              <w:pStyle w:val="STTABULKY"/>
              <w:spacing w:line="256" w:lineRule="auto"/>
            </w:pPr>
            <w:r>
              <w:t>stavební materiály na bázi sádry neuvedené pod č. 17 08 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7D247B" w14:textId="77777777" w:rsidR="002A5236" w:rsidRDefault="002A5236">
            <w:pPr>
              <w:pStyle w:val="STTABULKY"/>
              <w:spacing w:line="256" w:lineRule="auto"/>
            </w:pPr>
            <w:r>
              <w:t>sádrokarton</w:t>
            </w:r>
          </w:p>
        </w:tc>
      </w:tr>
      <w:tr w:rsidR="002A5236" w14:paraId="526391F8" w14:textId="77777777" w:rsidTr="002A5236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906E" w14:textId="77777777" w:rsidR="002A5236" w:rsidRDefault="002A5236">
            <w:pPr>
              <w:pStyle w:val="STTABULKY"/>
              <w:spacing w:line="256" w:lineRule="auto"/>
            </w:pPr>
            <w:r>
              <w:t>17 09 04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9491" w14:textId="77777777" w:rsidR="002A5236" w:rsidRDefault="002A5236">
            <w:pPr>
              <w:pStyle w:val="STTABULKY"/>
              <w:spacing w:line="256" w:lineRule="auto"/>
            </w:pPr>
            <w:r>
              <w:t>N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58E4" w14:textId="77777777" w:rsidR="002A5236" w:rsidRDefault="002A5236">
            <w:pPr>
              <w:pStyle w:val="STTABULKY"/>
              <w:spacing w:line="256" w:lineRule="auto"/>
            </w:pPr>
            <w:r>
              <w:t>směsné stavební a demoliční odpady neuvedené pod č. 17 09 01, 17 09 02 a 17 09 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82F0FA" w14:textId="77777777" w:rsidR="002A5236" w:rsidRDefault="002A5236">
            <w:pPr>
              <w:pStyle w:val="STTABULKY"/>
              <w:spacing w:line="256" w:lineRule="auto"/>
            </w:pPr>
            <w:r>
              <w:t>neroztříděné zbytky stav. materiálů</w:t>
            </w:r>
          </w:p>
        </w:tc>
      </w:tr>
      <w:tr w:rsidR="002A5236" w14:paraId="735C3B96" w14:textId="77777777" w:rsidTr="002A5236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E3A757" w14:textId="77777777" w:rsidR="002A5236" w:rsidRDefault="002A5236">
            <w:pPr>
              <w:pStyle w:val="STTABULKY"/>
              <w:spacing w:line="256" w:lineRule="auto"/>
            </w:pPr>
            <w:r>
              <w:t>20 03 01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97A30D" w14:textId="77777777" w:rsidR="002A5236" w:rsidRDefault="002A5236">
            <w:pPr>
              <w:pStyle w:val="STTABULKY"/>
              <w:spacing w:line="256" w:lineRule="auto"/>
            </w:pPr>
            <w:r>
              <w:t>O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56F985" w14:textId="77777777" w:rsidR="002A5236" w:rsidRDefault="002A5236">
            <w:pPr>
              <w:pStyle w:val="STTABULKY"/>
              <w:spacing w:line="256" w:lineRule="auto"/>
            </w:pPr>
            <w:r>
              <w:t>směsný komunální odpad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AF4E51" w14:textId="77777777" w:rsidR="002A5236" w:rsidRDefault="002A5236">
            <w:pPr>
              <w:pStyle w:val="STTABULKY"/>
              <w:spacing w:line="256" w:lineRule="auto"/>
            </w:pPr>
            <w:r>
              <w:t>běžný odpad z provozu zařízení staveniště</w:t>
            </w:r>
          </w:p>
        </w:tc>
      </w:tr>
    </w:tbl>
    <w:p w14:paraId="2FB363FD" w14:textId="77777777" w:rsidR="00EC0D30" w:rsidRDefault="00EC0D30" w:rsidP="00EC0D30">
      <w:pPr>
        <w:rPr>
          <w:rFonts w:ascii="Calibri" w:hAnsi="Calibri"/>
          <w:sz w:val="20"/>
        </w:rPr>
      </w:pPr>
    </w:p>
    <w:p w14:paraId="340A27B7" w14:textId="2098B7C1" w:rsidR="00EC0D30" w:rsidRPr="005711E1" w:rsidRDefault="00EC0D30" w:rsidP="00EC0D30">
      <w:r w:rsidRPr="005711E1">
        <w:t xml:space="preserve">Odpadový materiál ze stavební činnosti (suť, průmyslový odpad </w:t>
      </w:r>
      <w:proofErr w:type="gramStart"/>
      <w:r w:rsidRPr="005711E1">
        <w:t>a pod.</w:t>
      </w:r>
      <w:proofErr w:type="gramEnd"/>
      <w:r w:rsidRPr="005711E1">
        <w:t>)  bude ukládán v prostoru staveniště do kontejnerů a ihned odvážen na vhodnou skládku.</w:t>
      </w:r>
    </w:p>
    <w:p w14:paraId="04A2602A" w14:textId="77777777" w:rsidR="00EC0D30" w:rsidRPr="005711E1" w:rsidRDefault="00EC0D30" w:rsidP="00892312">
      <w:pPr>
        <w:pStyle w:val="STNADPIS2"/>
        <w:numPr>
          <w:ilvl w:val="1"/>
          <w:numId w:val="28"/>
        </w:numPr>
      </w:pPr>
      <w:bookmarkStart w:id="13" w:name="_Toc35866202"/>
      <w:bookmarkStart w:id="14" w:name="_Toc36026981"/>
      <w:bookmarkStart w:id="15" w:name="_Toc36027064"/>
      <w:bookmarkStart w:id="16" w:name="_Toc37776364"/>
      <w:bookmarkStart w:id="17" w:name="_Toc40667493"/>
      <w:bookmarkStart w:id="18" w:name="_Toc51067320"/>
      <w:bookmarkStart w:id="19" w:name="_Toc51067365"/>
      <w:bookmarkStart w:id="20" w:name="_Toc51067395"/>
      <w:bookmarkStart w:id="21" w:name="_Toc51506402"/>
      <w:bookmarkStart w:id="22" w:name="_Toc86650436"/>
      <w:bookmarkStart w:id="23" w:name="_Toc160932979"/>
      <w:bookmarkStart w:id="24" w:name="_Toc489799268"/>
      <w:r w:rsidRPr="005711E1">
        <w:t>Recyklace, uložení na skládky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644FE613" w14:textId="61DAA6FC" w:rsidR="00EC0D30" w:rsidRPr="005711E1" w:rsidRDefault="00EC0D30" w:rsidP="00EC0D30">
      <w:r w:rsidRPr="005711E1">
        <w:t>Odpadní materiál, vznikající při realizaci stavby, je odpad vhodný k výrobě recyklátu, použitelného v různých oborech stavební činnosti samoz</w:t>
      </w:r>
      <w:r>
        <w:t>řejmě v závislosti na kvalitě a </w:t>
      </w:r>
      <w:r w:rsidRPr="005711E1">
        <w:t xml:space="preserve">zrnitosti recyklátu. </w:t>
      </w:r>
    </w:p>
    <w:p w14:paraId="683A574B" w14:textId="77777777" w:rsidR="00EC0D30" w:rsidRPr="005711E1" w:rsidRDefault="00EC0D30" w:rsidP="00EC0D30">
      <w:r w:rsidRPr="005711E1">
        <w:t>Odpadní materiály, nevhodné pro recyklaci, budou odváženy na vhodné řízené skládky. Vhodné skládky pro ukládání odpadu ze stavební činnosti nevhodných k recyklaci zajistí zhotovitel stavby v rámci dodávky stavby.</w:t>
      </w:r>
    </w:p>
    <w:p w14:paraId="2133C3C5" w14:textId="77777777" w:rsidR="00EC0D30" w:rsidRPr="00913D52" w:rsidRDefault="00EC0D30" w:rsidP="00903EA1">
      <w:pPr>
        <w:pStyle w:val="STNADPIS1"/>
      </w:pPr>
      <w:bookmarkStart w:id="25" w:name="_Toc489799269"/>
      <w:r w:rsidRPr="00913D52">
        <w:t>Emise</w:t>
      </w:r>
      <w:bookmarkEnd w:id="25"/>
    </w:p>
    <w:p w14:paraId="59EA2924" w14:textId="77777777" w:rsidR="00EC0D30" w:rsidRPr="00913D52" w:rsidRDefault="00EC0D30" w:rsidP="00EC0D30">
      <w:r w:rsidRPr="00913D52">
        <w:t>Znečištění ovzduší způsobuje stavební činnost. Jedná se zejména o zemní prá</w:t>
      </w:r>
      <w:r>
        <w:t xml:space="preserve">ce, výrobu betonu, výrobu živic </w:t>
      </w:r>
      <w:r w:rsidRPr="00913D52">
        <w:t>a</w:t>
      </w:r>
      <w:r>
        <w:t xml:space="preserve"> </w:t>
      </w:r>
      <w:r w:rsidRPr="00913D52">
        <w:t>pod</w:t>
      </w:r>
      <w:r>
        <w:t>obně</w:t>
      </w:r>
      <w:r w:rsidRPr="00913D52">
        <w:t>.</w:t>
      </w:r>
    </w:p>
    <w:p w14:paraId="07393C59" w14:textId="77777777" w:rsidR="00EC0D30" w:rsidRPr="00913D52" w:rsidRDefault="00EC0D30" w:rsidP="00903EA1">
      <w:pPr>
        <w:pStyle w:val="Normlnbezmezer"/>
      </w:pPr>
      <w:r w:rsidRPr="00913D52">
        <w:t>Zhotovitel musí dodržovat zejména:</w:t>
      </w:r>
    </w:p>
    <w:p w14:paraId="39CCD5E2" w14:textId="509A4410" w:rsidR="00EC0D30" w:rsidRPr="00913D52" w:rsidRDefault="00EC0D30" w:rsidP="00903EA1">
      <w:pPr>
        <w:pStyle w:val="Normlnbezmezer"/>
        <w:numPr>
          <w:ilvl w:val="0"/>
          <w:numId w:val="29"/>
        </w:numPr>
      </w:pPr>
      <w:r w:rsidRPr="00913D52">
        <w:t xml:space="preserve">Nařízení vlády </w:t>
      </w:r>
      <w:r w:rsidR="00903EA1">
        <w:t>201/2012</w:t>
      </w:r>
      <w:r w:rsidRPr="00913D52">
        <w:t>, kterým se stanoví závazné emisní stropy pro některé látky znečišťující ovzduší a způsob přípravy a provádění emisních inventur a</w:t>
      </w:r>
      <w:r w:rsidR="00543175">
        <w:t> </w:t>
      </w:r>
      <w:r w:rsidRPr="00913D52">
        <w:t>emisních projekcí ve znění pozdějších předpisů;</w:t>
      </w:r>
    </w:p>
    <w:p w14:paraId="01E66229" w14:textId="77777777" w:rsidR="00EC0D30" w:rsidRPr="005711E1" w:rsidRDefault="00EC0D30" w:rsidP="008A1AFF">
      <w:pPr>
        <w:pStyle w:val="STNADPIS1"/>
      </w:pPr>
      <w:bookmarkStart w:id="26" w:name="_Toc489799270"/>
      <w:r>
        <w:t>B</w:t>
      </w:r>
      <w:r w:rsidRPr="005711E1">
        <w:t>ilance zemních prací, požadavky na přísun nebo deponie zemin</w:t>
      </w:r>
      <w:bookmarkEnd w:id="26"/>
    </w:p>
    <w:p w14:paraId="75852343" w14:textId="6F918059" w:rsidR="008A1AFF" w:rsidRDefault="00EC0D30" w:rsidP="00EC0D30">
      <w:r w:rsidRPr="00D07B98">
        <w:t xml:space="preserve">Zemní </w:t>
      </w:r>
      <w:proofErr w:type="gramStart"/>
      <w:r w:rsidRPr="00D07B98">
        <w:t xml:space="preserve">práce:  </w:t>
      </w:r>
      <w:r w:rsidR="008A1AFF">
        <w:t xml:space="preserve"> </w:t>
      </w:r>
      <w:proofErr w:type="gramEnd"/>
      <w:r w:rsidR="008A1AFF">
        <w:t>stavba nebude produkovat žádnou zeminu, kterou je třeba nenávratně ze stavby odvézt. Výkopek bude vždy vrácen na původní místo nebo použit pro vyrovnání terénních nerovností na pozemku.</w:t>
      </w:r>
    </w:p>
    <w:p w14:paraId="6CBE0516" w14:textId="77777777" w:rsidR="00EC0D30" w:rsidRDefault="00EC0D30" w:rsidP="00EC0D30">
      <w:r>
        <w:t>Přebytečný humus nevznikne, protože se všechen zpětně použije na rekultivaci rozkopaného území.</w:t>
      </w:r>
    </w:p>
    <w:p w14:paraId="50D620F1" w14:textId="77777777" w:rsidR="00EC0D30" w:rsidRPr="00911107" w:rsidRDefault="00EC0D30" w:rsidP="008A1AFF">
      <w:pPr>
        <w:pStyle w:val="STNADPIS1"/>
      </w:pPr>
      <w:bookmarkStart w:id="27" w:name="_Toc489799271"/>
      <w:r>
        <w:t>O</w:t>
      </w:r>
      <w:r w:rsidRPr="00911107">
        <w:t>chrana životního prostředí při výstavbě</w:t>
      </w:r>
      <w:bookmarkEnd w:id="27"/>
    </w:p>
    <w:p w14:paraId="41BA9272" w14:textId="1DCE37AA" w:rsidR="00EC0D30" w:rsidRPr="00AF02C4" w:rsidRDefault="00EC0D30" w:rsidP="00EC0D30">
      <w:r w:rsidRPr="00AF02C4">
        <w:t>Ochrana životního prostředí při výstavbě tak bude spočívat pouze v dodržování opatření proti zamezení hluku a prašnosti a znečištění podzemních vod. Stavební práce budou probíhat pouze na ploše, k tomu určené, na pozemcích stavby nebude prováděna žádná údržba stavebních mechanismů ani jejich očista. Při jejich odstavení bude zamezeno odkapu ropných produktů do nezpevněného terénu a při realizaci stavby bude dbáno opatřeních, zamezujících vznik požáru nebo jiné ekologické havárie.</w:t>
      </w:r>
    </w:p>
    <w:p w14:paraId="2D90F189" w14:textId="77777777" w:rsidR="00EC0D30" w:rsidRPr="00AF02C4" w:rsidRDefault="00EC0D30" w:rsidP="00CD07A7">
      <w:pPr>
        <w:pStyle w:val="STNADPIS2"/>
        <w:numPr>
          <w:ilvl w:val="1"/>
          <w:numId w:val="37"/>
        </w:numPr>
      </w:pPr>
      <w:bookmarkStart w:id="28" w:name="_Toc489799272"/>
      <w:r w:rsidRPr="00AF02C4">
        <w:t>Hluk</w:t>
      </w:r>
      <w:bookmarkEnd w:id="28"/>
      <w:r w:rsidRPr="00AF02C4">
        <w:t xml:space="preserve"> </w:t>
      </w:r>
    </w:p>
    <w:p w14:paraId="2C8EF19B" w14:textId="071CB381" w:rsidR="00EC0D30" w:rsidRPr="00CB6CBD" w:rsidRDefault="00EC0D30" w:rsidP="00EC0D30">
      <w:r w:rsidRPr="00CB6CBD">
        <w:t>Nejvyšší přípustné hladiny hluku zákon č. 258/2000Sb. o ochr</w:t>
      </w:r>
      <w:r>
        <w:t>aně veřejného zdraví a </w:t>
      </w:r>
      <w:r w:rsidRPr="00CB6CBD">
        <w:t xml:space="preserve">jeho další následné prováděcí předpisy např. nařízení vlády č. 502/2000 Sb. (ochrana proti hluku), nařízení vlády č. </w:t>
      </w:r>
      <w:r w:rsidR="00CD07A7">
        <w:t>361/2007</w:t>
      </w:r>
      <w:r w:rsidRPr="00CB6CBD">
        <w:t xml:space="preserve"> (pracovní podmínky), vyhláška </w:t>
      </w:r>
      <w:r w:rsidR="00CD07A7">
        <w:t>252/2004</w:t>
      </w:r>
      <w:r w:rsidRPr="00CB6CBD">
        <w:t xml:space="preserve"> Sb. (pitná voda), vyhláška č. </w:t>
      </w:r>
      <w:r w:rsidR="00CD07A7">
        <w:t>409/2005</w:t>
      </w:r>
      <w:r w:rsidRPr="00CB6CBD">
        <w:t xml:space="preserve"> Sb. Předpisy a nařízení stanov</w:t>
      </w:r>
      <w:r>
        <w:t>í, že organizace a </w:t>
      </w:r>
      <w:r w:rsidRPr="00CB6CBD">
        <w:t>občané jsou povinni činit potřebná opatření ke</w:t>
      </w:r>
      <w:r>
        <w:t xml:space="preserve"> snížení hluku a dbát o to, aby </w:t>
      </w:r>
      <w:r w:rsidRPr="00CB6CBD">
        <w:t xml:space="preserve">pracovníci i ostatní občané byli jen v nejmenší možné míře vystaveni hluku, zejména musí dbát, aby nebyly překračovány nejvyšší přípustné hladiny hluku stanovené těmito předpisy. </w:t>
      </w:r>
    </w:p>
    <w:p w14:paraId="02D7A32D" w14:textId="7C837465" w:rsidR="00EC0D30" w:rsidRPr="00CB6CBD" w:rsidRDefault="00EC0D30" w:rsidP="00EC0D30">
      <w:r w:rsidRPr="00CB6CBD">
        <w:t xml:space="preserve">Zhotovitel je povinen dodržovat nařízení vlády </w:t>
      </w:r>
      <w:r w:rsidR="009B43C8">
        <w:t>361/2007</w:t>
      </w:r>
      <w:r w:rsidRPr="00CB6CBD">
        <w:t>, kterým se stanoví podmínky ochrany zdraví zaměstnanců při práci ve znění pozdějších předpisů a zároveň se zavazu</w:t>
      </w:r>
      <w:r>
        <w:t>je dodržet limity hladiny hluku.</w:t>
      </w:r>
    </w:p>
    <w:p w14:paraId="259B9CFD" w14:textId="77777777" w:rsidR="00EC0D30" w:rsidRPr="00CB6CBD" w:rsidRDefault="00EC0D30" w:rsidP="0053405D">
      <w:pPr>
        <w:pStyle w:val="Normlnbezmezer"/>
      </w:pPr>
      <w:r w:rsidRPr="00CB6CBD">
        <w:t>Z těchto ustanovení pak vyplývají pro účastníky výstavby následující povinnosti:</w:t>
      </w:r>
    </w:p>
    <w:p w14:paraId="5DE24CC2" w14:textId="77777777" w:rsidR="00EC0D30" w:rsidRPr="00CB6CBD" w:rsidRDefault="00EC0D30" w:rsidP="00EC0D30">
      <w:r w:rsidRPr="00CB6CBD">
        <w:t>Zhotovitel je povinen vyžadovat od výrobců stavebních s</w:t>
      </w:r>
      <w:r>
        <w:t>trojů údaje o výši hluku, který </w:t>
      </w:r>
      <w:r w:rsidRPr="00CB6CBD">
        <w:t>stroje vydávají, a provádět opatření na ochranu proti škodlivému působení hluku. Zhotovitel je povinen vybavit pracovníky pracující s</w:t>
      </w:r>
      <w:r>
        <w:t>e stroji ochrannými pomůckami a </w:t>
      </w:r>
      <w:r w:rsidRPr="00CB6CBD">
        <w:t xml:space="preserve">přerušovat jejich práci v hlučném prostředí ze zdravotních důvodů nezbytnými přestávkami. </w:t>
      </w:r>
    </w:p>
    <w:p w14:paraId="4DA79DD2" w14:textId="77777777" w:rsidR="00EC0D30" w:rsidRPr="004124EF" w:rsidRDefault="00EC0D30" w:rsidP="0053405D">
      <w:pPr>
        <w:pStyle w:val="Normlnbezmezer"/>
      </w:pPr>
      <w:r w:rsidRPr="004124EF">
        <w:t>Nejvyšší přípustnou hladinu hluku stanoví uvedené předpisy ve výši 55 dB (A) pro denní dobu a 45 dB (A) pro noční dobu. Tato hladina se upravuje korekcemi s ohledem na druh okolní zástavby a je nutno dodržovat tyto zásady:</w:t>
      </w:r>
    </w:p>
    <w:p w14:paraId="325E57FB" w14:textId="77777777" w:rsidR="00EC0D30" w:rsidRPr="00AF02C4" w:rsidRDefault="00EC0D30" w:rsidP="00CD07A7">
      <w:pPr>
        <w:pStyle w:val="Normlnbezmezer"/>
        <w:numPr>
          <w:ilvl w:val="0"/>
          <w:numId w:val="36"/>
        </w:numPr>
      </w:pPr>
      <w:r w:rsidRPr="00AF02C4">
        <w:t>informovat uživatele o provádění hlučných stavebních prací a o době jejich trvání</w:t>
      </w:r>
    </w:p>
    <w:p w14:paraId="68621817" w14:textId="1E5FA831" w:rsidR="00EC0D30" w:rsidRPr="00AF02C4" w:rsidRDefault="00EC0D30" w:rsidP="00CD07A7">
      <w:pPr>
        <w:pStyle w:val="Normlnbezmezer"/>
        <w:numPr>
          <w:ilvl w:val="0"/>
          <w:numId w:val="36"/>
        </w:numPr>
      </w:pPr>
      <w:r w:rsidRPr="00AF02C4">
        <w:t xml:space="preserve">neprovádět hlučné stavební práce v době od 7.00-8.00 a 18.00-21.00 včetně </w:t>
      </w:r>
      <w:proofErr w:type="gramStart"/>
      <w:r w:rsidRPr="00AF02C4">
        <w:t>noci</w:t>
      </w:r>
      <w:proofErr w:type="gramEnd"/>
      <w:r w:rsidRPr="00AF02C4">
        <w:t xml:space="preserve"> pokud provozovatel nebude požadovat jiné doby, bude zahrnuto ve</w:t>
      </w:r>
      <w:r w:rsidR="00543175">
        <w:t> </w:t>
      </w:r>
      <w:r w:rsidRPr="00AF02C4">
        <w:t xml:space="preserve">smlouvě </w:t>
      </w:r>
    </w:p>
    <w:p w14:paraId="16431761" w14:textId="77777777" w:rsidR="00EC0D30" w:rsidRPr="00AF02C4" w:rsidRDefault="00EC0D30" w:rsidP="00CD07A7">
      <w:pPr>
        <w:pStyle w:val="Normlnbezmezer"/>
        <w:numPr>
          <w:ilvl w:val="0"/>
          <w:numId w:val="36"/>
        </w:numPr>
      </w:pPr>
      <w:r w:rsidRPr="00AF02C4">
        <w:t>omezit chod hlučných stavebních strojů na rozumnou mez</w:t>
      </w:r>
    </w:p>
    <w:p w14:paraId="26E4A2BB" w14:textId="77777777" w:rsidR="00EC0D30" w:rsidRPr="00AF02C4" w:rsidRDefault="00EC0D30" w:rsidP="00CD07A7">
      <w:pPr>
        <w:pStyle w:val="Normlnbezmezer"/>
        <w:numPr>
          <w:ilvl w:val="0"/>
          <w:numId w:val="36"/>
        </w:numPr>
      </w:pPr>
      <w:r w:rsidRPr="00AF02C4">
        <w:t>neponechávat hlučné stroje v chodu naprázdno, týká se to nákladních automobilů při nakládce</w:t>
      </w:r>
    </w:p>
    <w:p w14:paraId="2C43A625" w14:textId="77777777" w:rsidR="00EC0D30" w:rsidRPr="00AF02C4" w:rsidRDefault="00EC0D30" w:rsidP="00CD07A7">
      <w:pPr>
        <w:pStyle w:val="Normlnbezmezer"/>
        <w:numPr>
          <w:ilvl w:val="0"/>
          <w:numId w:val="36"/>
        </w:numPr>
      </w:pPr>
      <w:r w:rsidRPr="00AF02C4">
        <w:t>používat pouze stroje v dobrém technickém stavu, správně seřízené</w:t>
      </w:r>
    </w:p>
    <w:p w14:paraId="3A49947C" w14:textId="77777777" w:rsidR="00EC0D30" w:rsidRPr="00AF02C4" w:rsidRDefault="00EC0D30" w:rsidP="00CD07A7">
      <w:pPr>
        <w:pStyle w:val="Normlnbezmezer"/>
        <w:numPr>
          <w:ilvl w:val="0"/>
          <w:numId w:val="36"/>
        </w:numPr>
      </w:pPr>
      <w:r w:rsidRPr="00AF02C4">
        <w:t>při používání hlučné mechanizace v interiéru je žádoucí mít zavřená okna v dané místnosti</w:t>
      </w:r>
    </w:p>
    <w:p w14:paraId="33D237FB" w14:textId="77777777" w:rsidR="00EC0D30" w:rsidRPr="00AF02C4" w:rsidRDefault="00EC0D30" w:rsidP="00CD07A7">
      <w:pPr>
        <w:pStyle w:val="Normlnbezmezer"/>
        <w:numPr>
          <w:ilvl w:val="0"/>
          <w:numId w:val="36"/>
        </w:numPr>
        <w:spacing w:after="200"/>
        <w:ind w:left="714" w:hanging="357"/>
      </w:pPr>
      <w:r w:rsidRPr="00AF02C4">
        <w:t>negenerovat v rámci staveniště zbytečně nadměrný hluk</w:t>
      </w:r>
    </w:p>
    <w:p w14:paraId="22BA7758" w14:textId="77777777" w:rsidR="00EC0D30" w:rsidRPr="00922769" w:rsidRDefault="00EC0D30" w:rsidP="00CD07A7">
      <w:pPr>
        <w:pStyle w:val="STNADPIS2"/>
        <w:numPr>
          <w:ilvl w:val="1"/>
          <w:numId w:val="37"/>
        </w:numPr>
      </w:pPr>
      <w:bookmarkStart w:id="29" w:name="_Toc489799273"/>
      <w:r w:rsidRPr="00922769">
        <w:t>Vibrace</w:t>
      </w:r>
      <w:bookmarkEnd w:id="29"/>
    </w:p>
    <w:p w14:paraId="668138AB" w14:textId="0DD1BAEA" w:rsidR="00EC0D30" w:rsidRPr="00AF02C4" w:rsidRDefault="00EC0D30" w:rsidP="00EC0D30">
      <w:r w:rsidRPr="00AF02C4">
        <w:t xml:space="preserve">Maximální přípustné hodnoty vibrací stanoví Nařízení vlády </w:t>
      </w:r>
      <w:r w:rsidR="00CD07A7">
        <w:t>97/211</w:t>
      </w:r>
      <w:r w:rsidRPr="00AF02C4">
        <w:t xml:space="preserve"> Sb. o ochraně zdraví před nepříznivými účinky hluku a vibrací, která rovněž stanoví povinnosti stavebních organizací. K zamezení nepříznivých účinků stavebních strojů s vibračními účinky na budovy v blízkosti stavby pozemní komunikace je možné tyto použít pouze se souhlasem stavebního dozoru po předchozím posouzení statického stavu budov. </w:t>
      </w:r>
    </w:p>
    <w:p w14:paraId="0667DFD3" w14:textId="77777777" w:rsidR="00EC0D30" w:rsidRPr="00922769" w:rsidRDefault="00EC0D30" w:rsidP="009B43C8">
      <w:pPr>
        <w:pStyle w:val="STNADPIS2"/>
        <w:numPr>
          <w:ilvl w:val="1"/>
          <w:numId w:val="37"/>
        </w:numPr>
      </w:pPr>
      <w:bookmarkStart w:id="30" w:name="_Toc489799274"/>
      <w:r w:rsidRPr="00922769">
        <w:t>Prašnost</w:t>
      </w:r>
      <w:bookmarkEnd w:id="30"/>
    </w:p>
    <w:p w14:paraId="5A02641D" w14:textId="77777777" w:rsidR="00EC0D30" w:rsidRPr="00AF02C4" w:rsidRDefault="00EC0D30" w:rsidP="00EC0D30">
      <w:r w:rsidRPr="00AF02C4">
        <w:t>V průběhu provádění demoličních a zemních prací je zhotovitel povinen provádět opatření ke snížení prašnosti (u demolic kropení bouraných konstrukcí), u veřejných komunikací pak jejich pravidelné čištění v případě, že je po nich veden stavební provoz.</w:t>
      </w:r>
    </w:p>
    <w:p w14:paraId="28C78ACC" w14:textId="77777777" w:rsidR="00EC0D30" w:rsidRPr="00922769" w:rsidRDefault="00EC0D30" w:rsidP="009B43C8">
      <w:pPr>
        <w:pStyle w:val="STNADPIS2"/>
        <w:numPr>
          <w:ilvl w:val="1"/>
          <w:numId w:val="37"/>
        </w:numPr>
      </w:pPr>
      <w:bookmarkStart w:id="31" w:name="_Toc489799275"/>
      <w:r w:rsidRPr="00922769">
        <w:t>Ochrana povrchových a podzemních vod</w:t>
      </w:r>
      <w:bookmarkEnd w:id="31"/>
    </w:p>
    <w:p w14:paraId="0A247AEC" w14:textId="77777777" w:rsidR="00EC0D30" w:rsidRPr="00AF02C4" w:rsidRDefault="00EC0D30" w:rsidP="009B43C8">
      <w:pPr>
        <w:pStyle w:val="Normlnbezmezer"/>
      </w:pPr>
      <w:r w:rsidRPr="00AF02C4">
        <w:t>V průběhu výstavby zajistí zhotovitel, aby nedocházelo k nadměrnému znečišťování povrchových vod a ohrožování kvality podzemních vod.</w:t>
      </w:r>
      <w:r>
        <w:t xml:space="preserve"> Musí proto dodržovat:</w:t>
      </w:r>
    </w:p>
    <w:p w14:paraId="348C55CD" w14:textId="40C76BBE" w:rsidR="00EC0D30" w:rsidRPr="00922769" w:rsidRDefault="00EC0D30" w:rsidP="009B43C8">
      <w:pPr>
        <w:pStyle w:val="Normlnbezmezer"/>
        <w:numPr>
          <w:ilvl w:val="0"/>
          <w:numId w:val="39"/>
        </w:numPr>
      </w:pPr>
      <w:r>
        <w:t>Z</w:t>
      </w:r>
      <w:r w:rsidRPr="00922769">
        <w:t xml:space="preserve">ejména ustanovení uvedená ve vyhlášce MLVH č. </w:t>
      </w:r>
      <w:r w:rsidR="009B43C8">
        <w:t>254/2001</w:t>
      </w:r>
      <w:r w:rsidRPr="00922769">
        <w:t xml:space="preserve"> Sb., o ochraně jakosti povrchových a podzemních vod</w:t>
      </w:r>
    </w:p>
    <w:p w14:paraId="355B45D8" w14:textId="3F828A28" w:rsidR="00EC0D30" w:rsidRPr="00922769" w:rsidRDefault="00EC0D30" w:rsidP="009B43C8">
      <w:pPr>
        <w:pStyle w:val="Normlnbezmezer"/>
        <w:numPr>
          <w:ilvl w:val="0"/>
          <w:numId w:val="39"/>
        </w:numPr>
      </w:pPr>
      <w:r w:rsidRPr="00922769">
        <w:t>Vyhlášk</w:t>
      </w:r>
      <w:r>
        <w:t>u</w:t>
      </w:r>
      <w:r w:rsidRPr="00922769">
        <w:t xml:space="preserve"> </w:t>
      </w:r>
      <w:proofErr w:type="spellStart"/>
      <w:r w:rsidRPr="00922769">
        <w:t>MZe</w:t>
      </w:r>
      <w:proofErr w:type="spellEnd"/>
      <w:r w:rsidRPr="00922769">
        <w:t xml:space="preserve"> 428/2001, kterou se p</w:t>
      </w:r>
      <w:r>
        <w:t>rovádí zákon č. 274/2001 Sb., o </w:t>
      </w:r>
      <w:r w:rsidRPr="00922769">
        <w:t>vodovodech a kanalizacích pro veřejnou potřebu a o změně některých zákonů (zákon o</w:t>
      </w:r>
      <w:r w:rsidR="00543175">
        <w:t> </w:t>
      </w:r>
      <w:r w:rsidRPr="00922769">
        <w:t>vodovodech a kanalizacích)</w:t>
      </w:r>
    </w:p>
    <w:p w14:paraId="0993475D" w14:textId="271B1DDD" w:rsidR="00EC0D30" w:rsidRPr="00922769" w:rsidRDefault="00EC0D30" w:rsidP="009B43C8">
      <w:pPr>
        <w:pStyle w:val="Normlnbezmezer"/>
        <w:numPr>
          <w:ilvl w:val="0"/>
          <w:numId w:val="39"/>
        </w:numPr>
        <w:spacing w:after="200"/>
      </w:pPr>
      <w:r w:rsidRPr="00922769">
        <w:t xml:space="preserve">Nařízení vlády </w:t>
      </w:r>
      <w:r w:rsidR="006D15C7">
        <w:t>166/2015</w:t>
      </w:r>
      <w:r w:rsidRPr="00922769">
        <w:t>, o ukazatelích a hodnotách přípustného znečištění povrchových vod a odpadních vod, náležitostech povolení k vypouštění odpadních vod do vod povrchových a do kanalizací a o citlivých oblastech</w:t>
      </w:r>
    </w:p>
    <w:p w14:paraId="722570BB" w14:textId="77777777" w:rsidR="00EC0D30" w:rsidRPr="006D15C7" w:rsidRDefault="00EC0D30" w:rsidP="006D15C7">
      <w:pPr>
        <w:pStyle w:val="STNADPIS2"/>
        <w:numPr>
          <w:ilvl w:val="1"/>
          <w:numId w:val="37"/>
        </w:numPr>
      </w:pPr>
      <w:bookmarkStart w:id="32" w:name="_Toc489799276"/>
      <w:r w:rsidRPr="00922769">
        <w:t>Související předpisy</w:t>
      </w:r>
      <w:bookmarkEnd w:id="32"/>
    </w:p>
    <w:p w14:paraId="2162ADBF" w14:textId="77777777" w:rsidR="00EC0D30" w:rsidRPr="00922769" w:rsidRDefault="00EC0D30" w:rsidP="006D15C7">
      <w:pPr>
        <w:pStyle w:val="Normlnbezmezer"/>
        <w:numPr>
          <w:ilvl w:val="0"/>
          <w:numId w:val="39"/>
        </w:numPr>
      </w:pPr>
      <w:r w:rsidRPr="00922769">
        <w:t>Metodický pokyn MŽP, Kritéria znečištění zemin a podzemní vody, 1992</w:t>
      </w:r>
    </w:p>
    <w:p w14:paraId="61B03CF2" w14:textId="77777777" w:rsidR="00EC0D30" w:rsidRPr="00922769" w:rsidRDefault="00EC0D30" w:rsidP="006D15C7">
      <w:pPr>
        <w:pStyle w:val="Normlnbezmezer"/>
        <w:numPr>
          <w:ilvl w:val="0"/>
          <w:numId w:val="39"/>
        </w:numPr>
      </w:pPr>
      <w:r w:rsidRPr="00922769">
        <w:t>Technický předpis 83/2004 Odvodnění pozemních komunikací, MDS 2004</w:t>
      </w:r>
    </w:p>
    <w:p w14:paraId="411EF179" w14:textId="77777777" w:rsidR="00EC0D30" w:rsidRPr="00922769" w:rsidRDefault="00EC0D30" w:rsidP="006D15C7">
      <w:pPr>
        <w:pStyle w:val="Normlnbezmezer"/>
        <w:numPr>
          <w:ilvl w:val="0"/>
          <w:numId w:val="39"/>
        </w:numPr>
        <w:spacing w:after="200"/>
      </w:pPr>
      <w:r w:rsidRPr="00922769">
        <w:t>ČSN 75 3415 Ochrana vody před ropnými látkami – objekty pro manipulaci s ropnými látkami a jejich skladování</w:t>
      </w:r>
    </w:p>
    <w:p w14:paraId="54012D25" w14:textId="77777777" w:rsidR="00EC0D30" w:rsidRPr="00922769" w:rsidRDefault="00EC0D30" w:rsidP="006D15C7">
      <w:pPr>
        <w:pStyle w:val="STNADPIS2"/>
        <w:numPr>
          <w:ilvl w:val="1"/>
          <w:numId w:val="37"/>
        </w:numPr>
      </w:pPr>
      <w:bookmarkStart w:id="33" w:name="_Toc489799277"/>
      <w:r w:rsidRPr="00922769">
        <w:t>Zabezpečení chráněných porostů, území, objektů a ochranných pásem:</w:t>
      </w:r>
      <w:bookmarkEnd w:id="33"/>
    </w:p>
    <w:p w14:paraId="4C2DD941" w14:textId="6E21648A" w:rsidR="00EC0D30" w:rsidRPr="00AF02C4" w:rsidRDefault="00EC0D30" w:rsidP="00EC0D30">
      <w:r w:rsidRPr="00AF02C4">
        <w:t xml:space="preserve">V lokalitě stavby se </w:t>
      </w:r>
      <w:r w:rsidR="006D15C7">
        <w:t>ne</w:t>
      </w:r>
      <w:r w:rsidRPr="00AF02C4">
        <w:t xml:space="preserve">nachází hodnotná zeleň. Potřeby stavby si vyžádají kácení </w:t>
      </w:r>
      <w:r w:rsidR="006D15C7">
        <w:t xml:space="preserve">jednoho </w:t>
      </w:r>
      <w:r w:rsidRPr="00AF02C4">
        <w:t>stáv</w:t>
      </w:r>
      <w:r w:rsidR="00543175">
        <w:t>ajícího</w:t>
      </w:r>
      <w:r>
        <w:t xml:space="preserve"> </w:t>
      </w:r>
      <w:r w:rsidR="006D15C7">
        <w:t>ovocného stromu</w:t>
      </w:r>
      <w:r w:rsidRPr="00AF02C4">
        <w:t>, ponechané stromy budou zachované a</w:t>
      </w:r>
      <w:r w:rsidR="00543175">
        <w:t> </w:t>
      </w:r>
      <w:r w:rsidRPr="00AF02C4">
        <w:t>chráněn</w:t>
      </w:r>
      <w:r w:rsidR="00543175">
        <w:t>é</w:t>
      </w:r>
      <w:r w:rsidRPr="00AF02C4">
        <w:t xml:space="preserve"> před</w:t>
      </w:r>
      <w:r w:rsidR="00543175">
        <w:t> </w:t>
      </w:r>
      <w:r w:rsidRPr="00AF02C4">
        <w:t>poškozením dřevěným bedněním.</w:t>
      </w:r>
    </w:p>
    <w:p w14:paraId="5DF7040B" w14:textId="77777777" w:rsidR="00EC0D30" w:rsidRPr="00AF02C4" w:rsidRDefault="00EC0D30" w:rsidP="004575A2">
      <w:pPr>
        <w:pStyle w:val="Normlnbezmezer"/>
      </w:pPr>
      <w:r w:rsidRPr="00AF02C4">
        <w:t>Po dobu výstavby je nutná ochrana zeleně v záboru s</w:t>
      </w:r>
      <w:r>
        <w:t>taveniště, pokud se nekácí. Jde </w:t>
      </w:r>
      <w:r w:rsidRPr="00AF02C4">
        <w:t>zejména o:</w:t>
      </w:r>
    </w:p>
    <w:p w14:paraId="6862FC00" w14:textId="77777777" w:rsidR="00EC0D30" w:rsidRPr="00AF02C4" w:rsidRDefault="00EC0D30" w:rsidP="004575A2">
      <w:pPr>
        <w:pStyle w:val="Normlnbezmezer"/>
        <w:numPr>
          <w:ilvl w:val="0"/>
          <w:numId w:val="40"/>
        </w:numPr>
      </w:pPr>
      <w:r w:rsidRPr="00AF02C4">
        <w:t>Zákon ČNR č. 114/92 Sb., o ochraně přírody a krajiny</w:t>
      </w:r>
      <w:r>
        <w:t xml:space="preserve"> ve znění zákonného opatření č. </w:t>
      </w:r>
      <w:r w:rsidRPr="00AF02C4">
        <w:t>460/2004 Sb.</w:t>
      </w:r>
    </w:p>
    <w:p w14:paraId="386A7C51" w14:textId="77777777" w:rsidR="00EC0D30" w:rsidRPr="00AF02C4" w:rsidRDefault="00EC0D30" w:rsidP="004575A2">
      <w:pPr>
        <w:pStyle w:val="Normlnbezmezer"/>
        <w:numPr>
          <w:ilvl w:val="0"/>
          <w:numId w:val="40"/>
        </w:numPr>
      </w:pPr>
      <w:r w:rsidRPr="00AF02C4">
        <w:t xml:space="preserve">Vyhlášku MŽP ČR č. 395/92 Sb., kterou se provádějí některá ustanovení zákona ČNR č. 114/92 Sb., </w:t>
      </w:r>
      <w:r>
        <w:tab/>
      </w:r>
      <w:r w:rsidRPr="00AF02C4">
        <w:t>ve znění pozdějších předpisů</w:t>
      </w:r>
    </w:p>
    <w:p w14:paraId="683013FA" w14:textId="77777777" w:rsidR="00EC0D30" w:rsidRPr="00AF02C4" w:rsidRDefault="00EC0D30" w:rsidP="004575A2">
      <w:pPr>
        <w:pStyle w:val="Normlnbezmezer"/>
        <w:numPr>
          <w:ilvl w:val="0"/>
          <w:numId w:val="40"/>
        </w:numPr>
      </w:pPr>
      <w:r w:rsidRPr="00AF02C4">
        <w:t>Zákon ČNR 20/87 Sb., o státní památkové péči</w:t>
      </w:r>
    </w:p>
    <w:p w14:paraId="72E4C289" w14:textId="2B4CF870" w:rsidR="004575A2" w:rsidRDefault="00EC0D30" w:rsidP="004575A2">
      <w:pPr>
        <w:pStyle w:val="Odstavecseseznamem"/>
        <w:numPr>
          <w:ilvl w:val="0"/>
          <w:numId w:val="40"/>
        </w:numPr>
        <w:ind w:left="714" w:hanging="357"/>
      </w:pPr>
      <w:r w:rsidRPr="00AF02C4">
        <w:t>Zákon ČNR č. 242/92 Sb., kterým se mění a doplňuje zákon ČNR č. 20/87 Sb., o</w:t>
      </w:r>
      <w:r w:rsidR="00543175">
        <w:t> </w:t>
      </w:r>
      <w:r w:rsidRPr="00AF02C4">
        <w:t>státní památkov</w:t>
      </w:r>
      <w:r w:rsidR="004575A2">
        <w:t>é</w:t>
      </w:r>
      <w:r w:rsidR="00543175">
        <w:t xml:space="preserve"> péči</w:t>
      </w:r>
      <w:r w:rsidR="004575A2">
        <w:t>.</w:t>
      </w:r>
    </w:p>
    <w:p w14:paraId="110756ED" w14:textId="0B4A6E52" w:rsidR="00EC0D30" w:rsidRPr="00BB5146" w:rsidRDefault="00EC0D30" w:rsidP="002C7701">
      <w:pPr>
        <w:pStyle w:val="STNADPIS1"/>
      </w:pPr>
      <w:bookmarkStart w:id="34" w:name="_Toc489799278"/>
      <w:r>
        <w:t>Z</w:t>
      </w:r>
      <w:r w:rsidRPr="00BB5146">
        <w:t>ásady bezpečnosti a ochrany zdraví při práci na staveništi, posouzení potřeby koordinátora bezpečnosti a</w:t>
      </w:r>
      <w:r w:rsidR="00543175">
        <w:t> </w:t>
      </w:r>
      <w:r w:rsidRPr="00BB5146">
        <w:t>ochrany zdraví při práci podle jiných právních předpisů</w:t>
      </w:r>
      <w:bookmarkEnd w:id="34"/>
    </w:p>
    <w:p w14:paraId="04AA72E1" w14:textId="77777777" w:rsidR="00EC0D30" w:rsidRDefault="00EC0D30" w:rsidP="00EC0D30">
      <w:pPr>
        <w:rPr>
          <w:b/>
        </w:rPr>
      </w:pPr>
      <w:r w:rsidRPr="00836D8A">
        <w:t>Podrobně ře</w:t>
      </w:r>
      <w:r>
        <w:t xml:space="preserve">ší samostatná příloha </w:t>
      </w:r>
      <w:r w:rsidRPr="00836D8A">
        <w:t>Plán bezpečnost</w:t>
      </w:r>
      <w:r>
        <w:t>i a ochrany zdraví při práci na </w:t>
      </w:r>
      <w:r w:rsidRPr="00836D8A">
        <w:t>staveništi</w:t>
      </w:r>
      <w:r w:rsidRPr="00CB6CBD">
        <w:t>.</w:t>
      </w:r>
    </w:p>
    <w:p w14:paraId="1A05E0D5" w14:textId="77777777" w:rsidR="00EC0D30" w:rsidRDefault="00EC0D30" w:rsidP="002C7701">
      <w:pPr>
        <w:pStyle w:val="STNADPIS1"/>
      </w:pPr>
      <w:bookmarkStart w:id="35" w:name="_Toc489799279"/>
      <w:r>
        <w:t>Ú</w:t>
      </w:r>
      <w:r w:rsidRPr="001051FD">
        <w:t>pravy pro bezbariérové užívání výstavbou dotčených staveb</w:t>
      </w:r>
      <w:bookmarkEnd w:id="35"/>
    </w:p>
    <w:p w14:paraId="6E8EFC9B" w14:textId="77777777" w:rsidR="00EC0D30" w:rsidRDefault="00EC0D30" w:rsidP="00EC0D30">
      <w:r w:rsidRPr="001051FD">
        <w:t xml:space="preserve">Žádné </w:t>
      </w:r>
      <w:r>
        <w:t>bariéry se ne stavbě nebudou vyskytovat.</w:t>
      </w:r>
    </w:p>
    <w:p w14:paraId="7E7DAD1B" w14:textId="77777777" w:rsidR="00EC0D30" w:rsidRPr="00836D8A" w:rsidRDefault="00EC0D30" w:rsidP="002C7701">
      <w:pPr>
        <w:pStyle w:val="STNADPIS1"/>
      </w:pPr>
      <w:bookmarkStart w:id="36" w:name="_Toc489799280"/>
      <w:r>
        <w:t>Z</w:t>
      </w:r>
      <w:r w:rsidRPr="00836D8A">
        <w:t>ásady pro dopravně inženýrské opatření</w:t>
      </w:r>
      <w:bookmarkEnd w:id="36"/>
    </w:p>
    <w:p w14:paraId="3666ED1B" w14:textId="63B3B64C" w:rsidR="00EC0D30" w:rsidRDefault="00EC0D30" w:rsidP="00EC0D30">
      <w:r w:rsidRPr="001051FD">
        <w:t>V zásadě žádné dopravně inženýrské opatření nebude nutné, zhotovitel si pouze osadí DZ vjezd a výjezd na stavbu</w:t>
      </w:r>
      <w:r>
        <w:t>.</w:t>
      </w:r>
      <w:r w:rsidR="002C7701">
        <w:t xml:space="preserve"> Dále při realizaci rekonstrukce přípojek musí zajistit označení slepá ulice z obou stran.</w:t>
      </w:r>
    </w:p>
    <w:p w14:paraId="25A2E7DF" w14:textId="77777777" w:rsidR="00EC0D30" w:rsidRPr="00836D8A" w:rsidRDefault="00EC0D30" w:rsidP="002C7701">
      <w:pPr>
        <w:pStyle w:val="STNADPIS1"/>
      </w:pPr>
      <w:bookmarkStart w:id="37" w:name="_Toc489799281"/>
      <w:r>
        <w:t>S</w:t>
      </w:r>
      <w:r w:rsidRPr="00836D8A">
        <w:t>tanovení speciálních podmínek pro provádění stavby (provádění stavby za provozu, opatření proti účinkům vnějšího prostředí při výstavbě apod.</w:t>
      </w:r>
      <w:bookmarkEnd w:id="37"/>
    </w:p>
    <w:p w14:paraId="010B4C74" w14:textId="77777777" w:rsidR="00EC0D30" w:rsidRPr="00404731" w:rsidRDefault="00EC0D30" w:rsidP="002C7701">
      <w:pPr>
        <w:rPr>
          <w:lang w:eastAsia="ar-SA"/>
        </w:rPr>
      </w:pPr>
      <w:r w:rsidRPr="00082493">
        <w:rPr>
          <w:b/>
          <w:iCs/>
          <w:lang w:eastAsia="ar-SA"/>
        </w:rPr>
        <w:t>Je nutno ochránit trasy nadzemního i podzemního vedení distribuční soustavy VN a NN v řešené</w:t>
      </w:r>
      <w:r w:rsidRPr="00404731">
        <w:rPr>
          <w:lang w:eastAsia="ar-SA"/>
        </w:rPr>
        <w:t xml:space="preserve">m území včetně provedení případných křižovatek a souběhů uvažované stavby s distribučním a sdělovacím zařízením v souladu s ČSN 33 2000-5-52, ČSN 73 60060 a PNE 33 3302, eliminování činností, které </w:t>
      </w:r>
      <w:r>
        <w:rPr>
          <w:lang w:eastAsia="ar-SA"/>
        </w:rPr>
        <w:t>by mohly ohrozit spolehlivost a </w:t>
      </w:r>
      <w:r w:rsidRPr="00404731">
        <w:rPr>
          <w:lang w:eastAsia="ar-SA"/>
        </w:rPr>
        <w:t xml:space="preserve">bezpečnost provozu distribuční soustavy, ohrozit </w:t>
      </w:r>
      <w:r>
        <w:rPr>
          <w:lang w:eastAsia="ar-SA"/>
        </w:rPr>
        <w:t>život, zdraví či majetek osob a </w:t>
      </w:r>
      <w:r w:rsidRPr="00404731">
        <w:rPr>
          <w:lang w:eastAsia="ar-SA"/>
        </w:rPr>
        <w:t>provádění činnosti, které by znemožnily nebo podstatně znesnadnily přístup k těmto zařízením.</w:t>
      </w:r>
    </w:p>
    <w:p w14:paraId="2980A747" w14:textId="1EB2FD45" w:rsidR="00EC0D30" w:rsidRPr="00404731" w:rsidRDefault="00EC0D30" w:rsidP="002C7701">
      <w:pPr>
        <w:rPr>
          <w:lang w:eastAsia="ar-SA"/>
        </w:rPr>
      </w:pPr>
      <w:r w:rsidRPr="00404731">
        <w:rPr>
          <w:lang w:eastAsia="ar-SA"/>
        </w:rPr>
        <w:t>Respektování ochranného pásma el. vedení a dalších zařízení energetiky ve smyslu §</w:t>
      </w:r>
      <w:r w:rsidR="002C7701">
        <w:rPr>
          <w:lang w:eastAsia="ar-SA"/>
        </w:rPr>
        <w:t> </w:t>
      </w:r>
      <w:r w:rsidRPr="00404731">
        <w:rPr>
          <w:lang w:eastAsia="ar-SA"/>
        </w:rPr>
        <w:t xml:space="preserve">46 </w:t>
      </w:r>
      <w:proofErr w:type="spellStart"/>
      <w:r w:rsidRPr="00404731">
        <w:rPr>
          <w:lang w:eastAsia="ar-SA"/>
        </w:rPr>
        <w:t>zak.č</w:t>
      </w:r>
      <w:proofErr w:type="spellEnd"/>
      <w:r w:rsidRPr="00404731">
        <w:rPr>
          <w:lang w:eastAsia="ar-SA"/>
        </w:rPr>
        <w:t>. 458/2000 Sb., v platném znění.</w:t>
      </w:r>
      <w:r w:rsidRPr="00404731">
        <w:rPr>
          <w:lang w:eastAsia="ar-SA"/>
        </w:rPr>
        <w:tab/>
      </w:r>
    </w:p>
    <w:p w14:paraId="479E1DEB" w14:textId="2B65A024" w:rsidR="00EC0D30" w:rsidRPr="00404731" w:rsidRDefault="00EC0D30" w:rsidP="002C7701">
      <w:pPr>
        <w:rPr>
          <w:lang w:eastAsia="ar-SA"/>
        </w:rPr>
      </w:pPr>
      <w:r w:rsidRPr="00404731">
        <w:rPr>
          <w:lang w:eastAsia="ar-SA"/>
        </w:rPr>
        <w:t>Provádění zemních prací v</w:t>
      </w:r>
      <w:r w:rsidR="002C7701">
        <w:rPr>
          <w:lang w:eastAsia="ar-SA"/>
        </w:rPr>
        <w:t> </w:t>
      </w:r>
      <w:r w:rsidRPr="00404731">
        <w:rPr>
          <w:lang w:eastAsia="ar-SA"/>
        </w:rPr>
        <w:t>ochr</w:t>
      </w:r>
      <w:r w:rsidR="002C7701">
        <w:rPr>
          <w:lang w:eastAsia="ar-SA"/>
        </w:rPr>
        <w:t xml:space="preserve">anném </w:t>
      </w:r>
      <w:r w:rsidRPr="00404731">
        <w:rPr>
          <w:lang w:eastAsia="ar-SA"/>
        </w:rPr>
        <w:t>pásmu kabelů výhrad</w:t>
      </w:r>
      <w:r>
        <w:rPr>
          <w:lang w:eastAsia="ar-SA"/>
        </w:rPr>
        <w:t>ně klasickým ručním nářadím bez </w:t>
      </w:r>
      <w:r w:rsidRPr="00404731">
        <w:rPr>
          <w:lang w:eastAsia="ar-SA"/>
        </w:rPr>
        <w:t>použití jakýchkoli mechanizmů s největší opatrností, nebude-li provozovatelem nařízeno jinak</w:t>
      </w:r>
    </w:p>
    <w:p w14:paraId="17EE9E85" w14:textId="77777777" w:rsidR="00EC0D30" w:rsidRPr="00404731" w:rsidRDefault="00EC0D30" w:rsidP="002C7701">
      <w:pPr>
        <w:rPr>
          <w:lang w:eastAsia="ar-SA"/>
        </w:rPr>
      </w:pPr>
      <w:r w:rsidRPr="00404731">
        <w:rPr>
          <w:lang w:eastAsia="ar-SA"/>
        </w:rPr>
        <w:t>Zajistit účast zástupce PRE ke kontrole křižovatek a souběhů před záhozem výkopu</w:t>
      </w:r>
    </w:p>
    <w:p w14:paraId="384423E4" w14:textId="77777777" w:rsidR="00EC0D30" w:rsidRPr="00404731" w:rsidRDefault="00EC0D30" w:rsidP="002C7701">
      <w:pPr>
        <w:rPr>
          <w:lang w:eastAsia="ar-SA"/>
        </w:rPr>
      </w:pPr>
      <w:r w:rsidRPr="00404731">
        <w:rPr>
          <w:lang w:eastAsia="ar-SA"/>
        </w:rPr>
        <w:t>Zachování stability podpěrných bodů nadzemního vedení a nenarušení podzemního uzemňovacího vedení</w:t>
      </w:r>
    </w:p>
    <w:p w14:paraId="2921B7EC" w14:textId="77777777" w:rsidR="00EC0D30" w:rsidRPr="00404731" w:rsidRDefault="00EC0D30" w:rsidP="002C7701">
      <w:pPr>
        <w:rPr>
          <w:lang w:eastAsia="ar-SA"/>
        </w:rPr>
      </w:pPr>
      <w:r w:rsidRPr="00404731">
        <w:rPr>
          <w:lang w:eastAsia="ar-SA"/>
        </w:rPr>
        <w:t>Zemní práce pouze v nezbytně nutném rozsahu, s pr</w:t>
      </w:r>
      <w:r>
        <w:rPr>
          <w:lang w:eastAsia="ar-SA"/>
        </w:rPr>
        <w:t>avidelným kropením staveniště a </w:t>
      </w:r>
      <w:r w:rsidRPr="00404731">
        <w:rPr>
          <w:lang w:eastAsia="ar-SA"/>
        </w:rPr>
        <w:t>deponií zemin</w:t>
      </w:r>
      <w:r>
        <w:rPr>
          <w:lang w:eastAsia="ar-SA"/>
        </w:rPr>
        <w:t>.</w:t>
      </w:r>
    </w:p>
    <w:p w14:paraId="0D99A743" w14:textId="77777777" w:rsidR="00EC0D30" w:rsidRPr="00404731" w:rsidRDefault="00EC0D30" w:rsidP="00EC0D30">
      <w:pPr>
        <w:rPr>
          <w:lang w:eastAsia="ar-SA"/>
        </w:rPr>
      </w:pPr>
      <w:r w:rsidRPr="00404731">
        <w:rPr>
          <w:lang w:eastAsia="ar-SA"/>
        </w:rPr>
        <w:t>Pravidelnou údržbou všech stavebních mechanizmů a jejich zabezpečení proti úniku provozních kapalin</w:t>
      </w:r>
    </w:p>
    <w:p w14:paraId="5AB2769A" w14:textId="77777777" w:rsidR="00EC0D30" w:rsidRPr="00404731" w:rsidRDefault="00EC0D30" w:rsidP="00EC0D30">
      <w:pPr>
        <w:rPr>
          <w:lang w:eastAsia="ar-SA"/>
        </w:rPr>
      </w:pPr>
      <w:r w:rsidRPr="00404731">
        <w:rPr>
          <w:lang w:eastAsia="ar-SA"/>
        </w:rPr>
        <w:t>Zákaz skladování PHM a látek škodlivých vodám v řešeném území</w:t>
      </w:r>
    </w:p>
    <w:p w14:paraId="0B7CD3CE" w14:textId="77777777" w:rsidR="00EC0D30" w:rsidRPr="00404731" w:rsidRDefault="00EC0D30" w:rsidP="00EC0D30">
      <w:pPr>
        <w:rPr>
          <w:lang w:eastAsia="ar-SA"/>
        </w:rPr>
      </w:pPr>
      <w:r w:rsidRPr="00404731">
        <w:rPr>
          <w:lang w:eastAsia="ar-SA"/>
        </w:rPr>
        <w:t>Minimalizaci zásahů do porostů dřevin a jejich odůvodněná kácení realizovat v době vegetačního klidu</w:t>
      </w:r>
    </w:p>
    <w:p w14:paraId="4ED641DA" w14:textId="77777777" w:rsidR="00EC0D30" w:rsidRPr="00404731" w:rsidRDefault="00EC0D30" w:rsidP="00EC0D30">
      <w:pPr>
        <w:rPr>
          <w:lang w:eastAsia="ar-SA"/>
        </w:rPr>
      </w:pPr>
      <w:r w:rsidRPr="00404731">
        <w:rPr>
          <w:lang w:eastAsia="ar-SA"/>
        </w:rPr>
        <w:t>Vyloučení pohybu nákladních aut a stavebních strojů a skladování materiálu mimo vymezené území</w:t>
      </w:r>
    </w:p>
    <w:p w14:paraId="0CA934FF" w14:textId="77777777" w:rsidR="00EC0D30" w:rsidRPr="00404731" w:rsidRDefault="00EC0D30" w:rsidP="00EC0D30">
      <w:pPr>
        <w:rPr>
          <w:lang w:eastAsia="ar-SA"/>
        </w:rPr>
      </w:pPr>
      <w:r w:rsidRPr="00404731">
        <w:rPr>
          <w:iCs/>
        </w:rPr>
        <w:t>Veškeré povinnosti stavebníka v souvislosti se stavbou na území s archeologickými nálezy budou dodrženy</w:t>
      </w:r>
    </w:p>
    <w:p w14:paraId="5262C439" w14:textId="77777777" w:rsidR="00EC0D30" w:rsidRPr="00404731" w:rsidRDefault="00EC0D30" w:rsidP="00EC0D30">
      <w:pPr>
        <w:rPr>
          <w:iCs/>
          <w:kern w:val="3"/>
          <w:lang w:eastAsia="zh-CN"/>
        </w:rPr>
      </w:pPr>
      <w:r w:rsidRPr="00404731">
        <w:rPr>
          <w:iCs/>
          <w:kern w:val="3"/>
          <w:lang w:eastAsia="zh-CN"/>
        </w:rPr>
        <w:t xml:space="preserve">Obecně je při výstavbě pozemních komunikací nutné dodržet technické požadavky vyplývající z páté části vyhlášky MOS Č. 104/1997 Sb. </w:t>
      </w:r>
    </w:p>
    <w:p w14:paraId="0C1806BE" w14:textId="77777777" w:rsidR="00EC0D30" w:rsidRPr="00082493" w:rsidRDefault="00EC0D30" w:rsidP="00391BFB">
      <w:pPr>
        <w:pStyle w:val="STNADPIS1"/>
      </w:pPr>
      <w:bookmarkStart w:id="38" w:name="_Toc489799282"/>
      <w:r>
        <w:t>P</w:t>
      </w:r>
      <w:r w:rsidRPr="00082493">
        <w:t>ostup výstavby, rozhodující dílčí termíny</w:t>
      </w:r>
      <w:bookmarkEnd w:id="38"/>
    </w:p>
    <w:p w14:paraId="10C753AF" w14:textId="77777777" w:rsidR="00EC0D30" w:rsidRPr="00624CC5" w:rsidRDefault="00EC0D30" w:rsidP="00391BFB">
      <w:pPr>
        <w:pStyle w:val="STNADPIS2"/>
        <w:numPr>
          <w:ilvl w:val="1"/>
          <w:numId w:val="48"/>
        </w:numPr>
      </w:pPr>
      <w:bookmarkStart w:id="39" w:name="_Toc318262194"/>
      <w:bookmarkStart w:id="40" w:name="_Toc489799283"/>
      <w:r w:rsidRPr="00624CC5">
        <w:t>Předpokládané zahájení výstavby</w:t>
      </w:r>
      <w:bookmarkEnd w:id="39"/>
      <w:bookmarkEnd w:id="40"/>
    </w:p>
    <w:p w14:paraId="49E21DF1" w14:textId="77777777" w:rsidR="00EC0D30" w:rsidRPr="00624CC5" w:rsidRDefault="00EC0D30" w:rsidP="00391BFB">
      <w:pPr>
        <w:rPr>
          <w:highlight w:val="cyan"/>
        </w:rPr>
      </w:pPr>
      <w:r w:rsidRPr="00624CC5">
        <w:t>Předpokládaný termín pro zahájení a dokončení výstavby bude ovlivněn průběhem veřejnoprávních řízení a samotným technologickým postupem stavby.</w:t>
      </w:r>
      <w:r w:rsidRPr="005C5971">
        <w:rPr>
          <w:color w:val="000000"/>
        </w:rPr>
        <w:t xml:space="preserve"> </w:t>
      </w:r>
      <w:r>
        <w:rPr>
          <w:color w:val="000000"/>
        </w:rPr>
        <w:t>Termíny jsou v </w:t>
      </w:r>
      <w:r w:rsidRPr="00624CC5">
        <w:rPr>
          <w:color w:val="000000"/>
        </w:rPr>
        <w:t>současné fázi odbornými odhady.</w:t>
      </w:r>
    </w:p>
    <w:p w14:paraId="02A37754" w14:textId="516BBC5B" w:rsidR="00EC0D30" w:rsidRPr="00624CC5" w:rsidRDefault="00EC0D30" w:rsidP="00391BFB">
      <w:pPr>
        <w:pStyle w:val="Normlnbezmezer"/>
      </w:pPr>
      <w:r w:rsidRPr="00624CC5">
        <w:t>Zahájení stavby</w:t>
      </w:r>
      <w:r w:rsidRPr="00624CC5">
        <w:tab/>
      </w:r>
      <w:r w:rsidR="00391BFB">
        <w:tab/>
      </w:r>
      <w:r w:rsidR="00391BFB">
        <w:tab/>
      </w:r>
      <w:r w:rsidR="0034457A">
        <w:t>jaro 0</w:t>
      </w:r>
      <w:r w:rsidR="00DF7A1E">
        <w:t>3</w:t>
      </w:r>
      <w:r w:rsidRPr="00624CC5">
        <w:t>/20</w:t>
      </w:r>
      <w:r w:rsidR="0034457A">
        <w:t>20</w:t>
      </w:r>
    </w:p>
    <w:p w14:paraId="54257DA6" w14:textId="1BD2C5AA" w:rsidR="00EC0D30" w:rsidRPr="00624CC5" w:rsidRDefault="00EC0D30" w:rsidP="00391BFB">
      <w:pPr>
        <w:pStyle w:val="Normlnbezmezer"/>
      </w:pPr>
      <w:r>
        <w:t>Dokončení stavby</w:t>
      </w:r>
      <w:r>
        <w:tab/>
      </w:r>
      <w:r w:rsidR="00391BFB">
        <w:tab/>
      </w:r>
      <w:r w:rsidR="00391BFB">
        <w:tab/>
      </w:r>
      <w:r w:rsidR="00377334">
        <w:t>12</w:t>
      </w:r>
      <w:r w:rsidRPr="00624CC5">
        <w:t>/20</w:t>
      </w:r>
      <w:r w:rsidR="0034457A">
        <w:t>2</w:t>
      </w:r>
      <w:r w:rsidR="00377334">
        <w:t>0</w:t>
      </w:r>
    </w:p>
    <w:p w14:paraId="3D52229F" w14:textId="0897243A" w:rsidR="00EC0D30" w:rsidRPr="002D5A7F" w:rsidRDefault="00EC0D30" w:rsidP="00391BFB">
      <w:pPr>
        <w:rPr>
          <w:caps/>
        </w:rPr>
      </w:pPr>
      <w:bookmarkStart w:id="41" w:name="_Toc318262195"/>
      <w:r w:rsidRPr="00624CC5">
        <w:t>Předpokládaná lhůta výstavby</w:t>
      </w:r>
      <w:bookmarkEnd w:id="41"/>
      <w:r>
        <w:rPr>
          <w:caps/>
        </w:rPr>
        <w:tab/>
      </w:r>
      <w:r w:rsidR="0034457A">
        <w:rPr>
          <w:caps/>
        </w:rPr>
        <w:t>1</w:t>
      </w:r>
      <w:r w:rsidR="00DF7A1E">
        <w:rPr>
          <w:caps/>
        </w:rPr>
        <w:t>0</w:t>
      </w:r>
      <w:r w:rsidRPr="00624CC5">
        <w:rPr>
          <w:caps/>
        </w:rPr>
        <w:t xml:space="preserve"> </w:t>
      </w:r>
      <w:r w:rsidRPr="00624CC5">
        <w:t>měsíců</w:t>
      </w:r>
    </w:p>
    <w:p w14:paraId="106508FD" w14:textId="77777777" w:rsidR="00EC0D30" w:rsidRPr="00391BFB" w:rsidRDefault="00EC0D30" w:rsidP="00391BFB">
      <w:pPr>
        <w:pStyle w:val="STNADPIS2"/>
        <w:numPr>
          <w:ilvl w:val="1"/>
          <w:numId w:val="48"/>
        </w:numPr>
      </w:pPr>
      <w:bookmarkStart w:id="42" w:name="_Toc489799284"/>
      <w:r w:rsidRPr="00391BFB">
        <w:t>Přehled etap – předpoklad, že budou oba objekty realizovány současně.</w:t>
      </w:r>
      <w:bookmarkEnd w:id="42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812"/>
        <w:gridCol w:w="6101"/>
        <w:gridCol w:w="1143"/>
      </w:tblGrid>
      <w:tr w:rsidR="003C2895" w:rsidRPr="00624CC5" w14:paraId="18B08235" w14:textId="77777777" w:rsidTr="00391BFB">
        <w:trPr>
          <w:trHeight w:val="454"/>
          <w:jc w:val="center"/>
        </w:trPr>
        <w:tc>
          <w:tcPr>
            <w:tcW w:w="449" w:type="dxa"/>
            <w:shd w:val="pct12" w:color="000000" w:fill="FFFFFF"/>
          </w:tcPr>
          <w:p w14:paraId="0F169E57" w14:textId="77777777" w:rsidR="003C2895" w:rsidRPr="00624CC5" w:rsidRDefault="003C2895" w:rsidP="000A2197">
            <w:pPr>
              <w:spacing w:after="0"/>
              <w:rPr>
                <w:rFonts w:ascii="Calibri" w:hAnsi="Calibri"/>
                <w:b/>
                <w:sz w:val="20"/>
              </w:rPr>
            </w:pPr>
            <w:proofErr w:type="spellStart"/>
            <w:r w:rsidRPr="00624CC5">
              <w:rPr>
                <w:rFonts w:ascii="Calibri" w:hAnsi="Calibri"/>
                <w:b/>
                <w:sz w:val="20"/>
              </w:rPr>
              <w:t>Ozn</w:t>
            </w:r>
            <w:proofErr w:type="spellEnd"/>
            <w:r w:rsidRPr="00624CC5">
              <w:rPr>
                <w:rFonts w:ascii="Calibri" w:hAnsi="Calibri"/>
                <w:b/>
                <w:sz w:val="20"/>
              </w:rPr>
              <w:t>. etap</w:t>
            </w:r>
          </w:p>
        </w:tc>
        <w:tc>
          <w:tcPr>
            <w:tcW w:w="812" w:type="dxa"/>
            <w:shd w:val="pct12" w:color="000000" w:fill="FFFFFF"/>
          </w:tcPr>
          <w:p w14:paraId="47905735" w14:textId="5AB86454" w:rsidR="003C2895" w:rsidRPr="00624CC5" w:rsidRDefault="003C2895" w:rsidP="000A2197">
            <w:pPr>
              <w:spacing w:after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SO</w:t>
            </w:r>
          </w:p>
        </w:tc>
        <w:tc>
          <w:tcPr>
            <w:tcW w:w="6101" w:type="dxa"/>
            <w:shd w:val="pct12" w:color="000000" w:fill="FFFFFF"/>
          </w:tcPr>
          <w:p w14:paraId="71C52D92" w14:textId="519E78E2" w:rsidR="003C2895" w:rsidRPr="00624CC5" w:rsidRDefault="003C2895" w:rsidP="000A2197">
            <w:pPr>
              <w:spacing w:after="0"/>
              <w:rPr>
                <w:rFonts w:ascii="Calibri" w:hAnsi="Calibri"/>
                <w:b/>
                <w:sz w:val="20"/>
              </w:rPr>
            </w:pPr>
            <w:r w:rsidRPr="00624CC5">
              <w:rPr>
                <w:rFonts w:ascii="Calibri" w:hAnsi="Calibri"/>
                <w:b/>
                <w:sz w:val="20"/>
              </w:rPr>
              <w:t>Přehled prací v dané etapě</w:t>
            </w:r>
          </w:p>
        </w:tc>
        <w:tc>
          <w:tcPr>
            <w:tcW w:w="1143" w:type="dxa"/>
            <w:shd w:val="pct12" w:color="000000" w:fill="FFFFFF"/>
          </w:tcPr>
          <w:p w14:paraId="34721C32" w14:textId="77777777" w:rsidR="003C2895" w:rsidRPr="00624CC5" w:rsidRDefault="003C2895" w:rsidP="000A2197">
            <w:pPr>
              <w:spacing w:after="0"/>
              <w:rPr>
                <w:rFonts w:ascii="Calibri" w:hAnsi="Calibri"/>
                <w:b/>
                <w:sz w:val="20"/>
              </w:rPr>
            </w:pPr>
            <w:r w:rsidRPr="00624CC5">
              <w:rPr>
                <w:rFonts w:ascii="Calibri" w:hAnsi="Calibri"/>
                <w:b/>
                <w:sz w:val="20"/>
              </w:rPr>
              <w:t xml:space="preserve">Odhadované termíny                             </w:t>
            </w:r>
          </w:p>
        </w:tc>
      </w:tr>
      <w:tr w:rsidR="003C2895" w:rsidRPr="00624CC5" w14:paraId="471849A9" w14:textId="77777777" w:rsidTr="00391BFB">
        <w:trPr>
          <w:trHeight w:val="454"/>
          <w:jc w:val="center"/>
        </w:trPr>
        <w:tc>
          <w:tcPr>
            <w:tcW w:w="449" w:type="dxa"/>
          </w:tcPr>
          <w:p w14:paraId="467FEF24" w14:textId="77777777" w:rsidR="003C2895" w:rsidRPr="00624CC5" w:rsidRDefault="003C2895" w:rsidP="000A2197">
            <w:pPr>
              <w:pStyle w:val="Bezmezer"/>
            </w:pPr>
            <w:r w:rsidRPr="00624CC5">
              <w:t>1</w:t>
            </w:r>
          </w:p>
        </w:tc>
        <w:tc>
          <w:tcPr>
            <w:tcW w:w="812" w:type="dxa"/>
          </w:tcPr>
          <w:p w14:paraId="33A55D7E" w14:textId="77777777" w:rsidR="003C2895" w:rsidRPr="00624CC5" w:rsidRDefault="003C2895" w:rsidP="000A2197">
            <w:pPr>
              <w:pStyle w:val="Bezmezer"/>
            </w:pPr>
          </w:p>
        </w:tc>
        <w:tc>
          <w:tcPr>
            <w:tcW w:w="6101" w:type="dxa"/>
          </w:tcPr>
          <w:p w14:paraId="35060149" w14:textId="26FEE2FA" w:rsidR="003C2895" w:rsidRPr="00624CC5" w:rsidRDefault="003C2895" w:rsidP="000A2197">
            <w:pPr>
              <w:pStyle w:val="Bezmezer"/>
            </w:pPr>
            <w:r w:rsidRPr="00624CC5">
              <w:t>příprava území</w:t>
            </w:r>
            <w:r>
              <w:t xml:space="preserve"> včetně provedení demolic</w:t>
            </w:r>
            <w:r w:rsidRPr="00624CC5">
              <w:t xml:space="preserve">, vytyčení, </w:t>
            </w:r>
            <w:r>
              <w:t>ZS</w:t>
            </w:r>
            <w:r w:rsidRPr="00624CC5">
              <w:t>, zemní práce HTÚ – výkopy</w:t>
            </w:r>
            <w:r w:rsidR="006D3D7F">
              <w:t>, kácení ovocných stromů a popínavých rostlin</w:t>
            </w:r>
          </w:p>
        </w:tc>
        <w:tc>
          <w:tcPr>
            <w:tcW w:w="1143" w:type="dxa"/>
          </w:tcPr>
          <w:p w14:paraId="426C12C1" w14:textId="641F2974" w:rsidR="003C2895" w:rsidRPr="00624CC5" w:rsidRDefault="003C2895" w:rsidP="000A2197">
            <w:pPr>
              <w:pStyle w:val="Bezmezer"/>
            </w:pPr>
            <w:r>
              <w:t>1</w:t>
            </w:r>
            <w:r w:rsidRPr="00624CC5">
              <w:t xml:space="preserve"> měsíc</w:t>
            </w:r>
          </w:p>
        </w:tc>
      </w:tr>
      <w:tr w:rsidR="008947AE" w:rsidRPr="00624CC5" w14:paraId="1F1215E8" w14:textId="77777777" w:rsidTr="00391BFB">
        <w:trPr>
          <w:trHeight w:val="120"/>
          <w:jc w:val="center"/>
        </w:trPr>
        <w:tc>
          <w:tcPr>
            <w:tcW w:w="449" w:type="dxa"/>
            <w:vMerge w:val="restart"/>
          </w:tcPr>
          <w:p w14:paraId="09CEA02E" w14:textId="77777777" w:rsidR="008947AE" w:rsidRPr="00624CC5" w:rsidRDefault="008947AE" w:rsidP="000A2197">
            <w:pPr>
              <w:pStyle w:val="Bezmezer"/>
            </w:pPr>
            <w:r w:rsidRPr="00624CC5">
              <w:t>2</w:t>
            </w:r>
          </w:p>
        </w:tc>
        <w:tc>
          <w:tcPr>
            <w:tcW w:w="812" w:type="dxa"/>
          </w:tcPr>
          <w:p w14:paraId="2EE1243F" w14:textId="248C6413" w:rsidR="008947AE" w:rsidRPr="002D5A7F" w:rsidRDefault="008947AE" w:rsidP="000A2197">
            <w:pPr>
              <w:pStyle w:val="Bezmezer"/>
            </w:pPr>
            <w:r>
              <w:t>0201</w:t>
            </w:r>
          </w:p>
        </w:tc>
        <w:tc>
          <w:tcPr>
            <w:tcW w:w="6101" w:type="dxa"/>
          </w:tcPr>
          <w:p w14:paraId="56E3B8A3" w14:textId="6A0076F9" w:rsidR="008947AE" w:rsidRPr="00624CC5" w:rsidRDefault="008947AE" w:rsidP="000A2197">
            <w:pPr>
              <w:pStyle w:val="Bezmezer"/>
            </w:pPr>
            <w:r w:rsidRPr="002D5A7F">
              <w:t>zakládání, hru</w:t>
            </w:r>
            <w:r>
              <w:t>bá spodní a vrchní stavba (HSV)</w:t>
            </w:r>
          </w:p>
        </w:tc>
        <w:tc>
          <w:tcPr>
            <w:tcW w:w="1143" w:type="dxa"/>
          </w:tcPr>
          <w:p w14:paraId="792F1A55" w14:textId="2B4979B4" w:rsidR="008947AE" w:rsidRPr="00624CC5" w:rsidRDefault="008947AE" w:rsidP="000A2197">
            <w:pPr>
              <w:pStyle w:val="Bezmezer"/>
            </w:pPr>
            <w:r>
              <w:t>2</w:t>
            </w:r>
            <w:r w:rsidRPr="00624CC5">
              <w:t xml:space="preserve"> měsíc</w:t>
            </w:r>
            <w:r w:rsidR="006D3D7F">
              <w:t>e</w:t>
            </w:r>
          </w:p>
        </w:tc>
      </w:tr>
      <w:tr w:rsidR="008947AE" w:rsidRPr="00624CC5" w14:paraId="723A5D1E" w14:textId="77777777" w:rsidTr="00391BFB">
        <w:trPr>
          <w:trHeight w:val="120"/>
          <w:jc w:val="center"/>
        </w:trPr>
        <w:tc>
          <w:tcPr>
            <w:tcW w:w="449" w:type="dxa"/>
            <w:vMerge/>
          </w:tcPr>
          <w:p w14:paraId="6EFC83AD" w14:textId="77777777" w:rsidR="008947AE" w:rsidRPr="00624CC5" w:rsidRDefault="008947AE" w:rsidP="000A2197">
            <w:pPr>
              <w:pStyle w:val="Bezmezer"/>
            </w:pPr>
          </w:p>
        </w:tc>
        <w:tc>
          <w:tcPr>
            <w:tcW w:w="812" w:type="dxa"/>
          </w:tcPr>
          <w:p w14:paraId="20F075C4" w14:textId="0AD9EF8A" w:rsidR="008947AE" w:rsidRPr="002D5A7F" w:rsidRDefault="008947AE" w:rsidP="000A2197">
            <w:pPr>
              <w:pStyle w:val="Bezmezer"/>
            </w:pPr>
            <w:r>
              <w:t>0301</w:t>
            </w:r>
          </w:p>
        </w:tc>
        <w:tc>
          <w:tcPr>
            <w:tcW w:w="6101" w:type="dxa"/>
            <w:vMerge w:val="restart"/>
          </w:tcPr>
          <w:p w14:paraId="68548745" w14:textId="601B4E87" w:rsidR="008947AE" w:rsidRPr="002D5A7F" w:rsidRDefault="008947AE" w:rsidP="000A2197">
            <w:pPr>
              <w:pStyle w:val="Bezmezer"/>
            </w:pPr>
            <w:r>
              <w:t>komplet objekt</w:t>
            </w:r>
          </w:p>
        </w:tc>
        <w:tc>
          <w:tcPr>
            <w:tcW w:w="1143" w:type="dxa"/>
          </w:tcPr>
          <w:p w14:paraId="0DD652FD" w14:textId="235010F4" w:rsidR="008947AE" w:rsidRDefault="008947AE" w:rsidP="000A2197">
            <w:pPr>
              <w:pStyle w:val="Bezmezer"/>
            </w:pPr>
            <w:r>
              <w:t>14 dnů</w:t>
            </w:r>
          </w:p>
        </w:tc>
      </w:tr>
      <w:tr w:rsidR="008947AE" w:rsidRPr="00624CC5" w14:paraId="5024497F" w14:textId="77777777" w:rsidTr="00391BFB">
        <w:trPr>
          <w:trHeight w:val="120"/>
          <w:jc w:val="center"/>
        </w:trPr>
        <w:tc>
          <w:tcPr>
            <w:tcW w:w="449" w:type="dxa"/>
            <w:vMerge/>
          </w:tcPr>
          <w:p w14:paraId="6A88C3B3" w14:textId="77777777" w:rsidR="008947AE" w:rsidRPr="00624CC5" w:rsidRDefault="008947AE" w:rsidP="000A2197">
            <w:pPr>
              <w:pStyle w:val="Bezmezer"/>
            </w:pPr>
          </w:p>
        </w:tc>
        <w:tc>
          <w:tcPr>
            <w:tcW w:w="812" w:type="dxa"/>
          </w:tcPr>
          <w:p w14:paraId="1BC88DAF" w14:textId="68BB1AD1" w:rsidR="008947AE" w:rsidRDefault="008947AE" w:rsidP="000A2197">
            <w:pPr>
              <w:pStyle w:val="Bezmezer"/>
            </w:pPr>
            <w:r>
              <w:t>0302</w:t>
            </w:r>
          </w:p>
        </w:tc>
        <w:tc>
          <w:tcPr>
            <w:tcW w:w="6101" w:type="dxa"/>
            <w:vMerge/>
          </w:tcPr>
          <w:p w14:paraId="77F03C60" w14:textId="77777777" w:rsidR="008947AE" w:rsidRPr="002D5A7F" w:rsidRDefault="008947AE" w:rsidP="000A2197">
            <w:pPr>
              <w:pStyle w:val="Bezmezer"/>
            </w:pPr>
          </w:p>
        </w:tc>
        <w:tc>
          <w:tcPr>
            <w:tcW w:w="1143" w:type="dxa"/>
          </w:tcPr>
          <w:p w14:paraId="56492BDB" w14:textId="4E96CAED" w:rsidR="008947AE" w:rsidRDefault="008947AE" w:rsidP="000A2197">
            <w:pPr>
              <w:pStyle w:val="Bezmezer"/>
            </w:pPr>
            <w:r>
              <w:t>7 dní</w:t>
            </w:r>
          </w:p>
        </w:tc>
      </w:tr>
      <w:tr w:rsidR="008947AE" w:rsidRPr="00624CC5" w14:paraId="6297A2C6" w14:textId="77777777" w:rsidTr="00391BFB">
        <w:trPr>
          <w:trHeight w:val="120"/>
          <w:jc w:val="center"/>
        </w:trPr>
        <w:tc>
          <w:tcPr>
            <w:tcW w:w="449" w:type="dxa"/>
            <w:vMerge/>
          </w:tcPr>
          <w:p w14:paraId="48209A8F" w14:textId="77777777" w:rsidR="008947AE" w:rsidRPr="00624CC5" w:rsidRDefault="008947AE" w:rsidP="000A2197">
            <w:pPr>
              <w:pStyle w:val="Bezmezer"/>
            </w:pPr>
          </w:p>
        </w:tc>
        <w:tc>
          <w:tcPr>
            <w:tcW w:w="812" w:type="dxa"/>
          </w:tcPr>
          <w:p w14:paraId="25D62A5B" w14:textId="6A479C30" w:rsidR="008947AE" w:rsidRDefault="008947AE" w:rsidP="000A2197">
            <w:pPr>
              <w:pStyle w:val="Bezmezer"/>
            </w:pPr>
            <w:r>
              <w:t>0303</w:t>
            </w:r>
          </w:p>
        </w:tc>
        <w:tc>
          <w:tcPr>
            <w:tcW w:w="6101" w:type="dxa"/>
            <w:vMerge/>
          </w:tcPr>
          <w:p w14:paraId="2423A6B3" w14:textId="77777777" w:rsidR="008947AE" w:rsidRPr="002D5A7F" w:rsidRDefault="008947AE" w:rsidP="000A2197">
            <w:pPr>
              <w:pStyle w:val="Bezmezer"/>
            </w:pPr>
          </w:p>
        </w:tc>
        <w:tc>
          <w:tcPr>
            <w:tcW w:w="1143" w:type="dxa"/>
          </w:tcPr>
          <w:p w14:paraId="06BED901" w14:textId="51626203" w:rsidR="008947AE" w:rsidRDefault="008947AE" w:rsidP="000A2197">
            <w:pPr>
              <w:pStyle w:val="Bezmezer"/>
            </w:pPr>
            <w:r>
              <w:t>7 dní</w:t>
            </w:r>
          </w:p>
        </w:tc>
      </w:tr>
      <w:tr w:rsidR="00391BFB" w:rsidRPr="00624CC5" w14:paraId="5176DE1F" w14:textId="77777777" w:rsidTr="00391BFB">
        <w:trPr>
          <w:trHeight w:val="660"/>
          <w:jc w:val="center"/>
        </w:trPr>
        <w:tc>
          <w:tcPr>
            <w:tcW w:w="449" w:type="dxa"/>
            <w:vMerge w:val="restart"/>
          </w:tcPr>
          <w:p w14:paraId="13DF35D5" w14:textId="77777777" w:rsidR="00391BFB" w:rsidRPr="00624CC5" w:rsidRDefault="00391BFB" w:rsidP="000A2197">
            <w:pPr>
              <w:pStyle w:val="Bezmezer"/>
            </w:pPr>
            <w:r w:rsidRPr="00624CC5">
              <w:t>3</w:t>
            </w:r>
          </w:p>
        </w:tc>
        <w:tc>
          <w:tcPr>
            <w:tcW w:w="812" w:type="dxa"/>
          </w:tcPr>
          <w:p w14:paraId="683C7561" w14:textId="5B2070C0" w:rsidR="00391BFB" w:rsidRPr="00624CC5" w:rsidRDefault="00391BFB" w:rsidP="000A2197">
            <w:pPr>
              <w:pStyle w:val="Bezmezer"/>
            </w:pPr>
            <w:r>
              <w:t>0201</w:t>
            </w:r>
          </w:p>
        </w:tc>
        <w:tc>
          <w:tcPr>
            <w:tcW w:w="6101" w:type="dxa"/>
          </w:tcPr>
          <w:p w14:paraId="7520E9F8" w14:textId="43E2A0B7" w:rsidR="00391BFB" w:rsidRPr="00624CC5" w:rsidRDefault="00391BFB" w:rsidP="000A2197">
            <w:pPr>
              <w:pStyle w:val="Bezmezer"/>
            </w:pPr>
            <w:r w:rsidRPr="00624CC5">
              <w:t xml:space="preserve">dokončovací práce (PSV), čisté terénní úpravy, </w:t>
            </w:r>
            <w:r>
              <w:t>demolice stávající zpevněné plochy,</w:t>
            </w:r>
            <w:r w:rsidRPr="00624CC5">
              <w:t xml:space="preserve"> </w:t>
            </w:r>
            <w:r>
              <w:t xml:space="preserve">výstavba nových </w:t>
            </w:r>
            <w:r w:rsidRPr="00624CC5">
              <w:t>zpevněných ploch</w:t>
            </w:r>
            <w:r>
              <w:t xml:space="preserve">, </w:t>
            </w:r>
            <w:r w:rsidRPr="00624CC5">
              <w:t>odstranění ZS</w:t>
            </w:r>
            <w:r>
              <w:t>, komplexní vyzkoušení technologie</w:t>
            </w:r>
          </w:p>
        </w:tc>
        <w:tc>
          <w:tcPr>
            <w:tcW w:w="1143" w:type="dxa"/>
            <w:vMerge w:val="restart"/>
          </w:tcPr>
          <w:p w14:paraId="0ABCB4C6" w14:textId="62F5BBD6" w:rsidR="00391BFB" w:rsidRPr="00624CC5" w:rsidRDefault="00391BFB" w:rsidP="000A2197">
            <w:pPr>
              <w:pStyle w:val="Bezmezer"/>
            </w:pPr>
            <w:r>
              <w:t>5</w:t>
            </w:r>
            <w:r w:rsidRPr="00624CC5">
              <w:t xml:space="preserve"> měsíců</w:t>
            </w:r>
          </w:p>
          <w:p w14:paraId="046FD624" w14:textId="77777777" w:rsidR="00391BFB" w:rsidRPr="00624CC5" w:rsidRDefault="00391BFB" w:rsidP="000A2197">
            <w:pPr>
              <w:pStyle w:val="Bezmezer"/>
            </w:pPr>
          </w:p>
        </w:tc>
      </w:tr>
      <w:tr w:rsidR="00391BFB" w:rsidRPr="00624CC5" w14:paraId="4DA217E0" w14:textId="77777777" w:rsidTr="00391BFB">
        <w:trPr>
          <w:trHeight w:val="321"/>
          <w:jc w:val="center"/>
        </w:trPr>
        <w:tc>
          <w:tcPr>
            <w:tcW w:w="449" w:type="dxa"/>
            <w:vMerge/>
          </w:tcPr>
          <w:p w14:paraId="6DD79000" w14:textId="77777777" w:rsidR="00391BFB" w:rsidRDefault="00391BFB" w:rsidP="00391BFB">
            <w:pPr>
              <w:pStyle w:val="Bezmezer"/>
            </w:pPr>
          </w:p>
        </w:tc>
        <w:tc>
          <w:tcPr>
            <w:tcW w:w="812" w:type="dxa"/>
          </w:tcPr>
          <w:p w14:paraId="01BC51C8" w14:textId="783972AB" w:rsidR="00391BFB" w:rsidRDefault="00391BFB" w:rsidP="00391BFB">
            <w:pPr>
              <w:pStyle w:val="Bezmezer"/>
            </w:pPr>
            <w:r>
              <w:t>0202</w:t>
            </w:r>
          </w:p>
        </w:tc>
        <w:tc>
          <w:tcPr>
            <w:tcW w:w="6101" w:type="dxa"/>
          </w:tcPr>
          <w:p w14:paraId="309A09D9" w14:textId="4EF0F053" w:rsidR="00391BFB" w:rsidRDefault="00391BFB" w:rsidP="00391BFB">
            <w:pPr>
              <w:pStyle w:val="Bezmezer"/>
            </w:pPr>
            <w:r>
              <w:t>celý objekt</w:t>
            </w:r>
          </w:p>
        </w:tc>
        <w:tc>
          <w:tcPr>
            <w:tcW w:w="1143" w:type="dxa"/>
            <w:vMerge/>
          </w:tcPr>
          <w:p w14:paraId="20789969" w14:textId="77777777" w:rsidR="00391BFB" w:rsidRDefault="00391BFB" w:rsidP="00391BFB">
            <w:pPr>
              <w:pStyle w:val="Bezmezer"/>
            </w:pPr>
          </w:p>
        </w:tc>
      </w:tr>
      <w:tr w:rsidR="00391BFB" w:rsidRPr="00624CC5" w14:paraId="0526067A" w14:textId="77777777" w:rsidTr="00391BFB">
        <w:trPr>
          <w:trHeight w:val="321"/>
          <w:jc w:val="center"/>
        </w:trPr>
        <w:tc>
          <w:tcPr>
            <w:tcW w:w="449" w:type="dxa"/>
          </w:tcPr>
          <w:p w14:paraId="7BE79123" w14:textId="0692513E" w:rsidR="00391BFB" w:rsidRPr="00624CC5" w:rsidRDefault="00391BFB" w:rsidP="00391BFB">
            <w:pPr>
              <w:pStyle w:val="Bezmezer"/>
            </w:pPr>
            <w:r>
              <w:t>4</w:t>
            </w:r>
          </w:p>
        </w:tc>
        <w:tc>
          <w:tcPr>
            <w:tcW w:w="812" w:type="dxa"/>
          </w:tcPr>
          <w:p w14:paraId="7DB7E758" w14:textId="3A8B4835" w:rsidR="00391BFB" w:rsidRPr="00624CC5" w:rsidRDefault="00391BFB" w:rsidP="00391BFB">
            <w:pPr>
              <w:pStyle w:val="Bezmezer"/>
            </w:pPr>
            <w:r>
              <w:t>0201</w:t>
            </w:r>
          </w:p>
        </w:tc>
        <w:tc>
          <w:tcPr>
            <w:tcW w:w="6101" w:type="dxa"/>
          </w:tcPr>
          <w:p w14:paraId="13331016" w14:textId="62299A51" w:rsidR="00391BFB" w:rsidRPr="00624CC5" w:rsidRDefault="00391BFB" w:rsidP="00391BFB">
            <w:pPr>
              <w:pStyle w:val="Bezmezer"/>
            </w:pPr>
            <w:r>
              <w:t>dokončení objektu</w:t>
            </w:r>
          </w:p>
        </w:tc>
        <w:tc>
          <w:tcPr>
            <w:tcW w:w="1143" w:type="dxa"/>
            <w:vMerge w:val="restart"/>
          </w:tcPr>
          <w:p w14:paraId="28FCCBE0" w14:textId="18F2E765" w:rsidR="00391BFB" w:rsidRDefault="00391BFB" w:rsidP="00391BFB">
            <w:pPr>
              <w:pStyle w:val="Bezmezer"/>
            </w:pPr>
            <w:r>
              <w:t>2 měsíce</w:t>
            </w:r>
          </w:p>
        </w:tc>
      </w:tr>
      <w:tr w:rsidR="00391BFB" w:rsidRPr="00624CC5" w14:paraId="13772BAF" w14:textId="77777777" w:rsidTr="00391BFB">
        <w:trPr>
          <w:trHeight w:val="256"/>
          <w:jc w:val="center"/>
        </w:trPr>
        <w:tc>
          <w:tcPr>
            <w:tcW w:w="449" w:type="dxa"/>
          </w:tcPr>
          <w:p w14:paraId="0DAE47BE" w14:textId="77777777" w:rsidR="00391BFB" w:rsidRDefault="00391BFB" w:rsidP="00391BFB">
            <w:pPr>
              <w:pStyle w:val="Bezmezer"/>
            </w:pPr>
          </w:p>
        </w:tc>
        <w:tc>
          <w:tcPr>
            <w:tcW w:w="812" w:type="dxa"/>
          </w:tcPr>
          <w:p w14:paraId="72030163" w14:textId="6199AE4E" w:rsidR="00391BFB" w:rsidRPr="00624CC5" w:rsidRDefault="00391BFB" w:rsidP="00391BFB">
            <w:pPr>
              <w:pStyle w:val="Bezmezer"/>
            </w:pPr>
            <w:r>
              <w:t>0202</w:t>
            </w:r>
          </w:p>
        </w:tc>
        <w:tc>
          <w:tcPr>
            <w:tcW w:w="6101" w:type="dxa"/>
          </w:tcPr>
          <w:p w14:paraId="78592A19" w14:textId="4FD02697" w:rsidR="00391BFB" w:rsidRPr="00624CC5" w:rsidRDefault="00391BFB" w:rsidP="00391BFB">
            <w:pPr>
              <w:pStyle w:val="Bezmezer"/>
            </w:pPr>
            <w:r>
              <w:t>celý objekt</w:t>
            </w:r>
          </w:p>
        </w:tc>
        <w:tc>
          <w:tcPr>
            <w:tcW w:w="1143" w:type="dxa"/>
            <w:vMerge/>
          </w:tcPr>
          <w:p w14:paraId="0FB0FA18" w14:textId="77777777" w:rsidR="00391BFB" w:rsidRDefault="00391BFB" w:rsidP="00391BFB">
            <w:pPr>
              <w:pStyle w:val="Bezmezer"/>
            </w:pPr>
          </w:p>
        </w:tc>
      </w:tr>
      <w:tr w:rsidR="00391BFB" w:rsidRPr="00624CC5" w14:paraId="21B0D26D" w14:textId="77777777" w:rsidTr="00391BFB">
        <w:trPr>
          <w:trHeight w:val="245"/>
          <w:jc w:val="center"/>
        </w:trPr>
        <w:tc>
          <w:tcPr>
            <w:tcW w:w="449" w:type="dxa"/>
          </w:tcPr>
          <w:p w14:paraId="7CB2AC73" w14:textId="77777777" w:rsidR="00391BFB" w:rsidRDefault="00391BFB" w:rsidP="00391BFB">
            <w:pPr>
              <w:pStyle w:val="Bezmezer"/>
            </w:pPr>
          </w:p>
        </w:tc>
        <w:tc>
          <w:tcPr>
            <w:tcW w:w="812" w:type="dxa"/>
          </w:tcPr>
          <w:p w14:paraId="6D8EB6EE" w14:textId="5E423953" w:rsidR="00391BFB" w:rsidRPr="00624CC5" w:rsidRDefault="00391BFB" w:rsidP="00391BFB">
            <w:pPr>
              <w:pStyle w:val="Bezmezer"/>
            </w:pPr>
            <w:r>
              <w:t>0601</w:t>
            </w:r>
          </w:p>
        </w:tc>
        <w:tc>
          <w:tcPr>
            <w:tcW w:w="6101" w:type="dxa"/>
          </w:tcPr>
          <w:p w14:paraId="170CABBE" w14:textId="7EB80D78" w:rsidR="00391BFB" w:rsidRPr="00624CC5" w:rsidRDefault="00391BFB" w:rsidP="00391BFB">
            <w:pPr>
              <w:pStyle w:val="Bezmezer"/>
            </w:pPr>
            <w:r>
              <w:t>celý objekt</w:t>
            </w:r>
          </w:p>
        </w:tc>
        <w:tc>
          <w:tcPr>
            <w:tcW w:w="1143" w:type="dxa"/>
            <w:vMerge/>
          </w:tcPr>
          <w:p w14:paraId="5C25656C" w14:textId="77777777" w:rsidR="00391BFB" w:rsidRDefault="00391BFB" w:rsidP="00391BFB">
            <w:pPr>
              <w:pStyle w:val="Bezmezer"/>
            </w:pPr>
          </w:p>
        </w:tc>
      </w:tr>
    </w:tbl>
    <w:p w14:paraId="20D33D17" w14:textId="77777777" w:rsidR="00391BFB" w:rsidRDefault="00391BFB" w:rsidP="000A2197">
      <w:pPr>
        <w:pStyle w:val="Normlnbezmezer"/>
      </w:pPr>
    </w:p>
    <w:p w14:paraId="4B0DB2BF" w14:textId="4A39A747" w:rsidR="000A2197" w:rsidRDefault="00EC0D30" w:rsidP="000A2197">
      <w:pPr>
        <w:pStyle w:val="Normlnbezmezer"/>
      </w:pPr>
      <w:r w:rsidRPr="00624CC5">
        <w:t>1. etapa –</w:t>
      </w:r>
    </w:p>
    <w:p w14:paraId="78E192E5" w14:textId="2DA0782C" w:rsidR="00EC0D30" w:rsidRDefault="000A2197" w:rsidP="00EC0D30">
      <w:r>
        <w:t>B</w:t>
      </w:r>
      <w:r w:rsidR="00EC0D30" w:rsidRPr="00624CC5">
        <w:t>ude vybudováno zařízení staveniště. Dále provedení</w:t>
      </w:r>
      <w:r w:rsidR="00EC0D30">
        <w:t xml:space="preserve"> demolice stávající plochy,</w:t>
      </w:r>
      <w:r w:rsidR="00EC0D30" w:rsidRPr="00624CC5">
        <w:t xml:space="preserve"> hrub</w:t>
      </w:r>
      <w:r w:rsidR="00EC0D30">
        <w:t>é</w:t>
      </w:r>
      <w:r w:rsidR="00EC0D30" w:rsidRPr="00624CC5">
        <w:t xml:space="preserve"> terénní úprav</w:t>
      </w:r>
      <w:r w:rsidR="00EC0D30">
        <w:t>y</w:t>
      </w:r>
      <w:r w:rsidR="00EC0D30" w:rsidRPr="00624CC5">
        <w:t xml:space="preserve"> (HTU)</w:t>
      </w:r>
      <w:r w:rsidR="008947AE">
        <w:t xml:space="preserve"> tj. </w:t>
      </w:r>
      <w:r w:rsidR="00543175">
        <w:t>s</w:t>
      </w:r>
      <w:r w:rsidR="008947AE">
        <w:t>ejmutí ornice</w:t>
      </w:r>
      <w:r w:rsidR="00EC0D30" w:rsidRPr="00624CC5">
        <w:t>.</w:t>
      </w:r>
      <w:r w:rsidR="00EC0D30">
        <w:t xml:space="preserve"> Před zahájením bude provedeno vytýčení</w:t>
      </w:r>
      <w:r w:rsidR="008947AE">
        <w:t xml:space="preserve"> sítí, výkopů, vymezení dočasného záboru na chodníku mobilním plotem).</w:t>
      </w:r>
    </w:p>
    <w:p w14:paraId="23D1335D" w14:textId="0B6489E6" w:rsidR="002244A4" w:rsidRDefault="00EC0D30" w:rsidP="008947AE">
      <w:pPr>
        <w:pStyle w:val="Normlnbezmezer"/>
      </w:pPr>
      <w:r w:rsidRPr="00624CC5">
        <w:t xml:space="preserve">2. etapa </w:t>
      </w:r>
      <w:r w:rsidR="002244A4">
        <w:t>–</w:t>
      </w:r>
      <w:r w:rsidRPr="00624CC5">
        <w:t xml:space="preserve"> </w:t>
      </w:r>
    </w:p>
    <w:p w14:paraId="2FA07113" w14:textId="6DFCCE22" w:rsidR="003C2895" w:rsidRDefault="002244A4" w:rsidP="00377334">
      <w:pPr>
        <w:pStyle w:val="Odstavecseseznamem"/>
        <w:numPr>
          <w:ilvl w:val="0"/>
          <w:numId w:val="44"/>
        </w:numPr>
      </w:pPr>
      <w:r>
        <w:t>SO 0201 -</w:t>
      </w:r>
      <w:r w:rsidR="00EC0D30" w:rsidRPr="00624CC5">
        <w:t>bude realizováno založení, základové konstrukce. Spodní a vrchní hrubá stavba objektu</w:t>
      </w:r>
      <w:r w:rsidR="000A2197">
        <w:t>, osazení oken</w:t>
      </w:r>
      <w:r w:rsidR="00EC0D30" w:rsidRPr="00624CC5">
        <w:t xml:space="preserve">. </w:t>
      </w:r>
      <w:r w:rsidR="003C2895">
        <w:t>Obnova hydroizolací podřezáním stávajícího zdiva. Provedení zateplení spodní části budovy, zasypání výkopů po obvodu budovy.</w:t>
      </w:r>
    </w:p>
    <w:p w14:paraId="00CD4405" w14:textId="24AA2D81" w:rsidR="00EC0D30" w:rsidRDefault="00EC0D30" w:rsidP="00377334">
      <w:pPr>
        <w:ind w:left="360"/>
      </w:pPr>
      <w:r w:rsidRPr="00624CC5">
        <w:t xml:space="preserve">Pro vertikální dopravu a manipulaci s prvky bednění bude využit </w:t>
      </w:r>
      <w:r w:rsidR="002244A4">
        <w:t>staveništní výtah nap</w:t>
      </w:r>
      <w:r w:rsidRPr="00624CC5">
        <w:t>ř</w:t>
      </w:r>
      <w:r w:rsidRPr="007C325A">
        <w:t xml:space="preserve">. typ </w:t>
      </w:r>
      <w:r w:rsidR="002244A4" w:rsidRPr="002244A4">
        <w:t>EDA 300Z</w:t>
      </w:r>
      <w:r>
        <w:t>.</w:t>
      </w:r>
      <w:r w:rsidRPr="00624CC5">
        <w:t xml:space="preserve"> Betonová směs při betonáži bude dopravována </w:t>
      </w:r>
      <w:r w:rsidR="002244A4">
        <w:t>výtahem</w:t>
      </w:r>
      <w:r w:rsidRPr="00624CC5">
        <w:t>.</w:t>
      </w:r>
      <w:r>
        <w:t xml:space="preserve"> </w:t>
      </w:r>
      <w:r w:rsidRPr="00624CC5">
        <w:t xml:space="preserve"> Dále bude proveden střešní plášť.</w:t>
      </w:r>
    </w:p>
    <w:p w14:paraId="6473D340" w14:textId="4F25FE81" w:rsidR="002244A4" w:rsidRPr="00377334" w:rsidRDefault="002244A4" w:rsidP="00377334">
      <w:pPr>
        <w:pStyle w:val="Odstavecseseznamem"/>
        <w:numPr>
          <w:ilvl w:val="0"/>
          <w:numId w:val="44"/>
        </w:numPr>
      </w:pPr>
      <w:r w:rsidRPr="00377334">
        <w:t>SO</w:t>
      </w:r>
      <w:r w:rsidR="009B3158" w:rsidRPr="00377334">
        <w:t xml:space="preserve"> </w:t>
      </w:r>
      <w:r w:rsidRPr="00377334">
        <w:t>0302</w:t>
      </w:r>
      <w:r w:rsidR="009B3158" w:rsidRPr="00377334">
        <w:t>, 0303 – bude provedena kompletní rekonstrukce přípojek včetně uvedení překopané komunikace do původního stavu.</w:t>
      </w:r>
    </w:p>
    <w:p w14:paraId="6CEA9062" w14:textId="1409BDC1" w:rsidR="009B3158" w:rsidRPr="00624CC5" w:rsidRDefault="009B3158" w:rsidP="00377334">
      <w:pPr>
        <w:pStyle w:val="Odstavecseseznamem"/>
        <w:numPr>
          <w:ilvl w:val="0"/>
          <w:numId w:val="44"/>
        </w:numPr>
      </w:pPr>
      <w:r>
        <w:t xml:space="preserve">SO 0301 – bude proveden kompletní </w:t>
      </w:r>
      <w:r w:rsidR="001C3314">
        <w:t>objekt,</w:t>
      </w:r>
      <w:r>
        <w:t xml:space="preserve"> tj. výkop, osazení vsakovací nádrže, zásyp.</w:t>
      </w:r>
    </w:p>
    <w:p w14:paraId="33E4EA0F" w14:textId="7F975C48" w:rsidR="000A2197" w:rsidRDefault="00EC0D30" w:rsidP="000A2197">
      <w:pPr>
        <w:pStyle w:val="Normlnbezmezer"/>
      </w:pPr>
      <w:r w:rsidRPr="00624CC5">
        <w:t xml:space="preserve">3. etapa </w:t>
      </w:r>
      <w:r w:rsidR="000A2197">
        <w:t>–</w:t>
      </w:r>
      <w:r w:rsidRPr="00624CC5">
        <w:t xml:space="preserve"> </w:t>
      </w:r>
    </w:p>
    <w:p w14:paraId="4164F743" w14:textId="4F897B90" w:rsidR="009B3158" w:rsidRDefault="000A2197" w:rsidP="00377334">
      <w:pPr>
        <w:pStyle w:val="Odstavecseseznamem"/>
        <w:numPr>
          <w:ilvl w:val="0"/>
          <w:numId w:val="44"/>
        </w:numPr>
      </w:pPr>
      <w:r>
        <w:t xml:space="preserve">SO 0201 - </w:t>
      </w:r>
      <w:r w:rsidR="00EC0D30" w:rsidRPr="00624CC5">
        <w:t>budou prováděny vnitřní stavební práce, montáž rozvodů instalací, technologického zařízení, dokončovací a kompletační práce</w:t>
      </w:r>
      <w:r w:rsidR="00EC0D30">
        <w:t xml:space="preserve"> včetně odzkoušení</w:t>
      </w:r>
      <w:r w:rsidR="009B3158">
        <w:t xml:space="preserve"> funkčnosti vybavení</w:t>
      </w:r>
      <w:r w:rsidR="00EC0D30" w:rsidRPr="00624CC5">
        <w:t>.</w:t>
      </w:r>
      <w:r w:rsidR="007D78F4">
        <w:t xml:space="preserve"> </w:t>
      </w:r>
      <w:r>
        <w:t xml:space="preserve">Vně budovy stavba lešení oklepání omítky, systém zateplení </w:t>
      </w:r>
      <w:r w:rsidR="009B3158">
        <w:t>vnější</w:t>
      </w:r>
      <w:r>
        <w:t>ho</w:t>
      </w:r>
      <w:r w:rsidR="009B3158">
        <w:t xml:space="preserve"> zateplení </w:t>
      </w:r>
    </w:p>
    <w:p w14:paraId="68562697" w14:textId="603D54D2" w:rsidR="00377334" w:rsidRDefault="00377334" w:rsidP="00377334">
      <w:pPr>
        <w:pStyle w:val="Odstavecseseznamem"/>
        <w:numPr>
          <w:ilvl w:val="0"/>
          <w:numId w:val="44"/>
        </w:numPr>
      </w:pPr>
      <w:r>
        <w:t>SO 0202 – demolice příprava, dokončení</w:t>
      </w:r>
    </w:p>
    <w:p w14:paraId="1A177396" w14:textId="48D52151" w:rsidR="000A2197" w:rsidRDefault="000A2197" w:rsidP="000A2197">
      <w:pPr>
        <w:pStyle w:val="Normlnbezmezer"/>
      </w:pPr>
      <w:r>
        <w:t xml:space="preserve">4.etapa – </w:t>
      </w:r>
    </w:p>
    <w:p w14:paraId="772818FD" w14:textId="7550DE92" w:rsidR="00886FF1" w:rsidRDefault="000A2197" w:rsidP="007D78F4">
      <w:pPr>
        <w:pStyle w:val="Odstavecseseznamem"/>
        <w:numPr>
          <w:ilvl w:val="0"/>
          <w:numId w:val="44"/>
        </w:numPr>
      </w:pPr>
      <w:r>
        <w:t xml:space="preserve">SO 0201 - uvnitř dokončení rekonstrukce, úpravy povrchů </w:t>
      </w:r>
      <w:r w:rsidR="00886FF1">
        <w:t>úklid. Vně dokončení</w:t>
      </w:r>
      <w:r w:rsidR="007D78F4">
        <w:t xml:space="preserve"> </w:t>
      </w:r>
      <w:r w:rsidR="00886FF1">
        <w:t>fasády, rozebrání lešení, uvedení přilehlého vnějšího chodníku do původního stavu.</w:t>
      </w:r>
    </w:p>
    <w:p w14:paraId="4E03FDDD" w14:textId="6E84EB59" w:rsidR="007D78F4" w:rsidRDefault="007D78F4" w:rsidP="007D78F4">
      <w:pPr>
        <w:pStyle w:val="Odstavecseseznamem"/>
        <w:numPr>
          <w:ilvl w:val="0"/>
          <w:numId w:val="44"/>
        </w:numPr>
      </w:pPr>
      <w:r>
        <w:t>Likvidace zařízení staveniště</w:t>
      </w:r>
    </w:p>
    <w:p w14:paraId="5DB72BC9" w14:textId="2D030EDE" w:rsidR="00EC0D30" w:rsidRPr="00624CC5" w:rsidRDefault="00886FF1" w:rsidP="007D78F4">
      <w:pPr>
        <w:pStyle w:val="Odstavecseseznamem"/>
        <w:numPr>
          <w:ilvl w:val="0"/>
          <w:numId w:val="44"/>
        </w:numPr>
      </w:pPr>
      <w:r>
        <w:t>S</w:t>
      </w:r>
      <w:r w:rsidR="007D78F4">
        <w:t>O</w:t>
      </w:r>
      <w:r>
        <w:t xml:space="preserve"> 601 – komple</w:t>
      </w:r>
      <w:r w:rsidR="007D78F4">
        <w:t>t</w:t>
      </w:r>
      <w:r>
        <w:t xml:space="preserve"> </w:t>
      </w:r>
      <w:r w:rsidR="006F3D02">
        <w:t>objekt – na</w:t>
      </w:r>
      <w:r w:rsidR="00EC0D30" w:rsidRPr="00624CC5">
        <w:t xml:space="preserve"> závěr budou dokončeny definitivní úpravy terénu, </w:t>
      </w:r>
      <w:r w:rsidR="00EC0D30">
        <w:t xml:space="preserve">realizovány nové </w:t>
      </w:r>
      <w:r w:rsidR="00EC0D30" w:rsidRPr="00624CC5">
        <w:t>zpevněné plochy a sadové úpravy.</w:t>
      </w:r>
    </w:p>
    <w:bookmarkEnd w:id="0"/>
    <w:p w14:paraId="2ECBEBC6" w14:textId="7879D417" w:rsidR="00466129" w:rsidRDefault="00466129" w:rsidP="0043304D">
      <w:pPr>
        <w:pStyle w:val="STNORMLN-2"/>
      </w:pPr>
    </w:p>
    <w:p w14:paraId="2C340D6B" w14:textId="77777777" w:rsidR="0042154E" w:rsidRDefault="0042154E" w:rsidP="0042154E">
      <w:pPr>
        <w:pStyle w:val="STNORMLN-2"/>
      </w:pPr>
      <w:r>
        <w:t>V Praze dne ………………………….</w:t>
      </w:r>
    </w:p>
    <w:p w14:paraId="6E7BD10C" w14:textId="77777777" w:rsidR="00295579" w:rsidRDefault="00295579" w:rsidP="0042154E">
      <w:pPr>
        <w:pStyle w:val="STNORMLN-2"/>
      </w:pPr>
    </w:p>
    <w:p w14:paraId="0F6517F0" w14:textId="46EC3360" w:rsidR="0042154E" w:rsidRDefault="0042154E" w:rsidP="0042154E">
      <w:pPr>
        <w:pStyle w:val="STNORMLN-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 . . . . . . . . . . . . . . . . . . . . . . . . . . . . .</w:t>
      </w:r>
    </w:p>
    <w:p w14:paraId="74CA6EB0" w14:textId="49B3D353" w:rsidR="0042154E" w:rsidRPr="0043304D" w:rsidRDefault="00402664" w:rsidP="0042154E">
      <w:pPr>
        <w:pStyle w:val="STNORMLN-2"/>
        <w:ind w:left="4963" w:firstLine="709"/>
      </w:pPr>
      <w:r>
        <w:t>Ing. Miroslav Špitálský</w:t>
      </w:r>
    </w:p>
    <w:sectPr w:rsidR="0042154E" w:rsidRPr="0043304D" w:rsidSect="00142360">
      <w:type w:val="oddPage"/>
      <w:pgSz w:w="11906" w:h="16838" w:code="9"/>
      <w:pgMar w:top="1701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0A2197" w:rsidRDefault="000A2197" w:rsidP="00A9351D">
      <w:pPr>
        <w:spacing w:after="0"/>
      </w:pPr>
      <w:r>
        <w:separator/>
      </w:r>
    </w:p>
  </w:endnote>
  <w:endnote w:type="continuationSeparator" w:id="0">
    <w:p w14:paraId="5504344F" w14:textId="77777777" w:rsidR="000A2197" w:rsidRDefault="000A2197" w:rsidP="00A935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77777777" w:rsidR="000A2197" w:rsidRDefault="000A2197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70</w:t>
        </w:r>
        <w:r w:rsidRPr="00B13E95">
          <w:rPr>
            <w:rStyle w:val="STZPATChar"/>
          </w:rPr>
          <w:fldChar w:fldCharType="end"/>
        </w:r>
      </w:p>
      <w:p w14:paraId="5F207369" w14:textId="7409DE58" w:rsidR="000A2197" w:rsidRPr="00CF3FFB" w:rsidRDefault="000A2197" w:rsidP="00CF3FFB">
        <w:pPr>
          <w:pStyle w:val="STZPAT"/>
        </w:pPr>
        <w:r>
          <w:rPr>
            <w:rStyle w:val="STZPATChar"/>
          </w:rPr>
          <w:t xml:space="preserve">Soubor </w:t>
        </w:r>
        <w:r w:rsidRPr="00C02181">
          <w:rPr>
            <w:rStyle w:val="STZPATChar"/>
            <w:i/>
          </w:rPr>
          <w:fldChar w:fldCharType="begin"/>
        </w:r>
        <w:r w:rsidRPr="00C02181">
          <w:rPr>
            <w:rStyle w:val="STZPATChar"/>
            <w:i/>
          </w:rPr>
          <w:instrText xml:space="preserve"> FILENAME   \* MERGEFORMAT </w:instrText>
        </w:r>
        <w:r w:rsidRPr="00C02181">
          <w:rPr>
            <w:rStyle w:val="STZPATChar"/>
            <w:i/>
          </w:rPr>
          <w:fldChar w:fldCharType="separate"/>
        </w:r>
        <w:r w:rsidR="00391BFB">
          <w:rPr>
            <w:rStyle w:val="STZPATChar"/>
            <w:i/>
            <w:noProof/>
          </w:rPr>
          <w:t>201910_DPS_B_0000_00.00_0002-00_ZOV.docx</w:t>
        </w:r>
        <w:r w:rsidRPr="00C02181">
          <w:rPr>
            <w:rStyle w:val="STZPATChar"/>
            <w:i/>
          </w:rPr>
          <w:fldChar w:fldCharType="end"/>
        </w:r>
        <w:r>
          <w:rPr>
            <w:rStyle w:val="STZPATChar"/>
            <w:i/>
          </w:rPr>
          <w:t>TZ</w:t>
        </w:r>
        <w:r w:rsidRPr="00C02181">
          <w:rPr>
            <w:rStyle w:val="STZPATChar"/>
            <w:i/>
          </w:rPr>
          <w:t>.doc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0A2197" w:rsidRDefault="000A2197" w:rsidP="00A9351D">
      <w:pPr>
        <w:spacing w:after="0"/>
      </w:pPr>
      <w:r>
        <w:separator/>
      </w:r>
    </w:p>
  </w:footnote>
  <w:footnote w:type="continuationSeparator" w:id="0">
    <w:p w14:paraId="58595660" w14:textId="77777777" w:rsidR="000A2197" w:rsidRDefault="000A2197" w:rsidP="00A935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03E79B16" w:rsidR="000A2197" w:rsidRDefault="000A2197" w:rsidP="00651A0B">
    <w:pPr>
      <w:pStyle w:val="STZHLAV"/>
      <w:tabs>
        <w:tab w:val="right" w:pos="9072"/>
      </w:tabs>
    </w:pPr>
    <w:bookmarkStart w:id="2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</w:t>
    </w:r>
    <w:r>
      <w:rPr>
        <w:rFonts w:cs="Segoe UI"/>
      </w:rPr>
      <w:t>2019_010_2_CZ_11_DJP</w:t>
    </w:r>
    <w:r>
      <w:t xml:space="preserve"> _101</w:t>
    </w:r>
  </w:p>
  <w:p w14:paraId="68E6E7E7" w14:textId="6FF36090" w:rsidR="000A2197" w:rsidRPr="001B319A" w:rsidRDefault="000A2197" w:rsidP="00C716E4">
    <w:pPr>
      <w:pStyle w:val="STZHLAV"/>
      <w:tabs>
        <w:tab w:val="right" w:pos="9071"/>
      </w:tabs>
      <w:jc w:val="left"/>
    </w:pPr>
    <w:r>
      <w:rPr>
        <w:b/>
      </w:rPr>
      <w:t>část B.8 ZOV</w:t>
    </w:r>
    <w:r>
      <w:tab/>
    </w:r>
    <w:r w:rsidRPr="007A4F16">
      <w:rPr>
        <w:rFonts w:cs="Segoe UI"/>
      </w:rPr>
      <w:t>DOMOV PRO OSOBY S AUTISMEM MB</w:t>
    </w:r>
  </w:p>
  <w:bookmarkEnd w:id="2"/>
  <w:p w14:paraId="2C322EC7" w14:textId="77777777" w:rsidR="000A2197" w:rsidRPr="00A9351D" w:rsidRDefault="000A2197" w:rsidP="001B319A">
    <w:pPr>
      <w:pStyle w:val="STZHLAV"/>
    </w:pPr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D8462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52135"/>
    <w:multiLevelType w:val="hybridMultilevel"/>
    <w:tmpl w:val="26D42158"/>
    <w:lvl w:ilvl="0" w:tplc="1A6AB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739"/>
    <w:multiLevelType w:val="multilevel"/>
    <w:tmpl w:val="7870FCC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" w15:restartNumberingAfterBreak="0">
    <w:nsid w:val="06C01D8A"/>
    <w:multiLevelType w:val="hybridMultilevel"/>
    <w:tmpl w:val="8D4AE598"/>
    <w:lvl w:ilvl="0" w:tplc="1A6AB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04DA5"/>
    <w:multiLevelType w:val="hybridMultilevel"/>
    <w:tmpl w:val="D3CE29BA"/>
    <w:lvl w:ilvl="0" w:tplc="1A6AB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54DBB"/>
    <w:multiLevelType w:val="hybridMultilevel"/>
    <w:tmpl w:val="47668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E17D2"/>
    <w:multiLevelType w:val="multilevel"/>
    <w:tmpl w:val="2C88EB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6" w15:restartNumberingAfterBreak="0">
    <w:nsid w:val="1AC4753D"/>
    <w:multiLevelType w:val="multilevel"/>
    <w:tmpl w:val="B934B05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7" w15:restartNumberingAfterBreak="0">
    <w:nsid w:val="231770F3"/>
    <w:multiLevelType w:val="hybridMultilevel"/>
    <w:tmpl w:val="E9FAA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227E9"/>
    <w:multiLevelType w:val="multilevel"/>
    <w:tmpl w:val="ACAE0A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9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54BD7"/>
    <w:multiLevelType w:val="hybridMultilevel"/>
    <w:tmpl w:val="6F1E2B54"/>
    <w:lvl w:ilvl="0" w:tplc="1A6AB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03629"/>
    <w:multiLevelType w:val="hybridMultilevel"/>
    <w:tmpl w:val="158CE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F64A1"/>
    <w:multiLevelType w:val="multilevel"/>
    <w:tmpl w:val="2C88EB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5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F4558"/>
    <w:multiLevelType w:val="multilevel"/>
    <w:tmpl w:val="19A2D7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7" w15:restartNumberingAfterBreak="0">
    <w:nsid w:val="491C7F89"/>
    <w:multiLevelType w:val="multilevel"/>
    <w:tmpl w:val="2C88EB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9" w15:restartNumberingAfterBreak="0">
    <w:nsid w:val="4C534FE1"/>
    <w:multiLevelType w:val="hybridMultilevel"/>
    <w:tmpl w:val="745C7CE2"/>
    <w:lvl w:ilvl="0" w:tplc="1A6ABC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A32F4"/>
    <w:multiLevelType w:val="multilevel"/>
    <w:tmpl w:val="6D027B10"/>
    <w:lvl w:ilvl="0">
      <w:start w:val="1"/>
      <w:numFmt w:val="decimal"/>
      <w:pStyle w:val="STNADPIS1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pStyle w:val="STNADPIS3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2" w15:restartNumberingAfterBreak="0">
    <w:nsid w:val="552B17D0"/>
    <w:multiLevelType w:val="multilevel"/>
    <w:tmpl w:val="08F026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3" w15:restartNumberingAfterBreak="0">
    <w:nsid w:val="55D04EBF"/>
    <w:multiLevelType w:val="hybridMultilevel"/>
    <w:tmpl w:val="77B83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02B8C"/>
    <w:multiLevelType w:val="multilevel"/>
    <w:tmpl w:val="2C88EB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5" w15:restartNumberingAfterBreak="0">
    <w:nsid w:val="62104E89"/>
    <w:multiLevelType w:val="hybridMultilevel"/>
    <w:tmpl w:val="6D108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6552B"/>
    <w:multiLevelType w:val="hybridMultilevel"/>
    <w:tmpl w:val="1082C79E"/>
    <w:lvl w:ilvl="0" w:tplc="1A6AB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6F1DAC"/>
    <w:multiLevelType w:val="multilevel"/>
    <w:tmpl w:val="05C23B0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8" w15:restartNumberingAfterBreak="0">
    <w:nsid w:val="69CF65C0"/>
    <w:multiLevelType w:val="hybridMultilevel"/>
    <w:tmpl w:val="A44455E6"/>
    <w:lvl w:ilvl="0" w:tplc="1A6AB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D06F9"/>
    <w:multiLevelType w:val="hybridMultilevel"/>
    <w:tmpl w:val="07D0213C"/>
    <w:lvl w:ilvl="0" w:tplc="572E02BC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528CD"/>
    <w:multiLevelType w:val="hybridMultilevel"/>
    <w:tmpl w:val="E67224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A40F2D"/>
    <w:multiLevelType w:val="hybridMultilevel"/>
    <w:tmpl w:val="CB42167E"/>
    <w:lvl w:ilvl="0" w:tplc="1A6AB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15"/>
  </w:num>
  <w:num w:numId="5">
    <w:abstractNumId w:val="20"/>
  </w:num>
  <w:num w:numId="6">
    <w:abstractNumId w:val="10"/>
  </w:num>
  <w:num w:numId="7">
    <w:abstractNumId w:val="24"/>
  </w:num>
  <w:num w:numId="8">
    <w:abstractNumId w:val="29"/>
  </w:num>
  <w:num w:numId="9">
    <w:abstractNumId w:val="24"/>
    <w:lvlOverride w:ilvl="0">
      <w:lvl w:ilvl="0">
        <w:start w:val="1"/>
        <w:numFmt w:val="decimal"/>
        <w:suff w:val="space"/>
        <w:lvlText w:val="%1)"/>
        <w:lvlJc w:val="left"/>
        <w:pPr>
          <w:ind w:left="0" w:firstLine="0"/>
        </w:pPr>
        <w:rPr>
          <w:rFonts w:ascii="Segoe UI" w:hAnsi="Segoe U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suff w:val="space"/>
        <w:lvlText w:val="%1.%2)"/>
        <w:lvlJc w:val="left"/>
        <w:pPr>
          <w:ind w:left="0" w:firstLine="0"/>
        </w:pPr>
        <w:rPr>
          <w:rFonts w:ascii="Segoe UI" w:hAnsi="Segoe UI" w:hint="default"/>
          <w:b/>
          <w:i w:val="0"/>
          <w:sz w:val="28"/>
        </w:rPr>
      </w:lvl>
    </w:lvlOverride>
    <w:lvlOverride w:ilvl="2">
      <w:lvl w:ilvl="2">
        <w:start w:val="1"/>
        <w:numFmt w:val="lowerLetter"/>
        <w:suff w:val="space"/>
        <w:lvlText w:val="%1.%2.%3)"/>
        <w:lvlJc w:val="left"/>
        <w:pPr>
          <w:ind w:left="0" w:firstLine="0"/>
        </w:pPr>
        <w:rPr>
          <w:rFonts w:ascii="Segoe UI" w:hAnsi="Segoe UI" w:hint="default"/>
          <w:b/>
          <w:i w:val="0"/>
          <w:sz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10">
    <w:abstractNumId w:val="24"/>
  </w:num>
  <w:num w:numId="11">
    <w:abstractNumId w:val="24"/>
  </w:num>
  <w:num w:numId="12">
    <w:abstractNumId w:val="22"/>
  </w:num>
  <w:num w:numId="13">
    <w:abstractNumId w:val="8"/>
  </w:num>
  <w:num w:numId="14">
    <w:abstractNumId w:val="30"/>
  </w:num>
  <w:num w:numId="15">
    <w:abstractNumId w:val="28"/>
  </w:num>
  <w:num w:numId="16">
    <w:abstractNumId w:val="8"/>
  </w:num>
  <w:num w:numId="17">
    <w:abstractNumId w:val="7"/>
  </w:num>
  <w:num w:numId="18">
    <w:abstractNumId w:val="23"/>
  </w:num>
  <w:num w:numId="19">
    <w:abstractNumId w:val="25"/>
  </w:num>
  <w:num w:numId="20">
    <w:abstractNumId w:val="8"/>
  </w:num>
  <w:num w:numId="21">
    <w:abstractNumId w:val="8"/>
  </w:num>
  <w:num w:numId="22">
    <w:abstractNumId w:val="8"/>
  </w:num>
  <w:num w:numId="23">
    <w:abstractNumId w:val="2"/>
  </w:num>
  <w:num w:numId="24">
    <w:abstractNumId w:val="8"/>
  </w:num>
  <w:num w:numId="25">
    <w:abstractNumId w:val="27"/>
  </w:num>
  <w:num w:numId="26">
    <w:abstractNumId w:val="1"/>
  </w:num>
  <w:num w:numId="27">
    <w:abstractNumId w:val="17"/>
  </w:num>
  <w:num w:numId="28">
    <w:abstractNumId w:val="16"/>
  </w:num>
  <w:num w:numId="29">
    <w:abstractNumId w:val="11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4"/>
  </w:num>
  <w:num w:numId="36">
    <w:abstractNumId w:val="0"/>
  </w:num>
  <w:num w:numId="37">
    <w:abstractNumId w:val="6"/>
  </w:num>
  <w:num w:numId="38">
    <w:abstractNumId w:val="13"/>
  </w:num>
  <w:num w:numId="39">
    <w:abstractNumId w:val="26"/>
  </w:num>
  <w:num w:numId="40">
    <w:abstractNumId w:val="31"/>
  </w:num>
  <w:num w:numId="41">
    <w:abstractNumId w:val="6"/>
  </w:num>
  <w:num w:numId="42">
    <w:abstractNumId w:val="6"/>
  </w:num>
  <w:num w:numId="43">
    <w:abstractNumId w:val="6"/>
  </w:num>
  <w:num w:numId="44">
    <w:abstractNumId w:val="19"/>
  </w:num>
  <w:num w:numId="45">
    <w:abstractNumId w:val="3"/>
  </w:num>
  <w:num w:numId="46">
    <w:abstractNumId w:val="6"/>
  </w:num>
  <w:num w:numId="47">
    <w:abstractNumId w:val="14"/>
  </w:num>
  <w:num w:numId="48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1AAB"/>
    <w:rsid w:val="00004C6E"/>
    <w:rsid w:val="00005B49"/>
    <w:rsid w:val="00005FCA"/>
    <w:rsid w:val="000122E0"/>
    <w:rsid w:val="00013A75"/>
    <w:rsid w:val="00013B09"/>
    <w:rsid w:val="0001425D"/>
    <w:rsid w:val="00014A94"/>
    <w:rsid w:val="00014E3A"/>
    <w:rsid w:val="00026377"/>
    <w:rsid w:val="0002646E"/>
    <w:rsid w:val="00027F00"/>
    <w:rsid w:val="00030D0E"/>
    <w:rsid w:val="00031494"/>
    <w:rsid w:val="000318F8"/>
    <w:rsid w:val="00032014"/>
    <w:rsid w:val="00033AC0"/>
    <w:rsid w:val="00034AD2"/>
    <w:rsid w:val="00036014"/>
    <w:rsid w:val="00041AD9"/>
    <w:rsid w:val="00041FB9"/>
    <w:rsid w:val="00044B33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6AF1"/>
    <w:rsid w:val="000673C1"/>
    <w:rsid w:val="000674D0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1AA"/>
    <w:rsid w:val="000839D4"/>
    <w:rsid w:val="00083A31"/>
    <w:rsid w:val="00083F4C"/>
    <w:rsid w:val="00084795"/>
    <w:rsid w:val="00084D11"/>
    <w:rsid w:val="00087615"/>
    <w:rsid w:val="000876A8"/>
    <w:rsid w:val="000A2197"/>
    <w:rsid w:val="000A21B6"/>
    <w:rsid w:val="000A2F51"/>
    <w:rsid w:val="000A4029"/>
    <w:rsid w:val="000A567D"/>
    <w:rsid w:val="000A6765"/>
    <w:rsid w:val="000A749F"/>
    <w:rsid w:val="000B033A"/>
    <w:rsid w:val="000B1B0B"/>
    <w:rsid w:val="000B1DF1"/>
    <w:rsid w:val="000B2BD4"/>
    <w:rsid w:val="000B4808"/>
    <w:rsid w:val="000B4877"/>
    <w:rsid w:val="000B513B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4EC"/>
    <w:rsid w:val="000F1907"/>
    <w:rsid w:val="000F1B23"/>
    <w:rsid w:val="000F2479"/>
    <w:rsid w:val="000F3774"/>
    <w:rsid w:val="000F518E"/>
    <w:rsid w:val="000F6020"/>
    <w:rsid w:val="000F61A3"/>
    <w:rsid w:val="00101502"/>
    <w:rsid w:val="00102D17"/>
    <w:rsid w:val="00106E52"/>
    <w:rsid w:val="001128DA"/>
    <w:rsid w:val="00115F0F"/>
    <w:rsid w:val="00116947"/>
    <w:rsid w:val="001169B8"/>
    <w:rsid w:val="00120AFE"/>
    <w:rsid w:val="00124FE0"/>
    <w:rsid w:val="00127D4B"/>
    <w:rsid w:val="00131511"/>
    <w:rsid w:val="00131EC8"/>
    <w:rsid w:val="00133C7B"/>
    <w:rsid w:val="00135773"/>
    <w:rsid w:val="00137508"/>
    <w:rsid w:val="00137A42"/>
    <w:rsid w:val="00140BB9"/>
    <w:rsid w:val="00142360"/>
    <w:rsid w:val="00142F4C"/>
    <w:rsid w:val="001456BF"/>
    <w:rsid w:val="00145B56"/>
    <w:rsid w:val="001476B6"/>
    <w:rsid w:val="00150E8C"/>
    <w:rsid w:val="00152307"/>
    <w:rsid w:val="00153C0E"/>
    <w:rsid w:val="00154682"/>
    <w:rsid w:val="00155AA4"/>
    <w:rsid w:val="00157DEC"/>
    <w:rsid w:val="0016590C"/>
    <w:rsid w:val="00166097"/>
    <w:rsid w:val="0017101F"/>
    <w:rsid w:val="0017126F"/>
    <w:rsid w:val="00171724"/>
    <w:rsid w:val="00171B16"/>
    <w:rsid w:val="00173470"/>
    <w:rsid w:val="00174878"/>
    <w:rsid w:val="0018163C"/>
    <w:rsid w:val="0018169E"/>
    <w:rsid w:val="00183015"/>
    <w:rsid w:val="001904E9"/>
    <w:rsid w:val="0019079D"/>
    <w:rsid w:val="00190816"/>
    <w:rsid w:val="00193224"/>
    <w:rsid w:val="00193D8D"/>
    <w:rsid w:val="00194CC9"/>
    <w:rsid w:val="00195971"/>
    <w:rsid w:val="00196EB5"/>
    <w:rsid w:val="00197561"/>
    <w:rsid w:val="0019756E"/>
    <w:rsid w:val="001A1213"/>
    <w:rsid w:val="001A1658"/>
    <w:rsid w:val="001A16C5"/>
    <w:rsid w:val="001A2758"/>
    <w:rsid w:val="001A498C"/>
    <w:rsid w:val="001A4ACD"/>
    <w:rsid w:val="001A6DEF"/>
    <w:rsid w:val="001B082E"/>
    <w:rsid w:val="001B2E01"/>
    <w:rsid w:val="001B3047"/>
    <w:rsid w:val="001B319A"/>
    <w:rsid w:val="001B3427"/>
    <w:rsid w:val="001B44A8"/>
    <w:rsid w:val="001B57E3"/>
    <w:rsid w:val="001C0A07"/>
    <w:rsid w:val="001C2F2D"/>
    <w:rsid w:val="001C3314"/>
    <w:rsid w:val="001C5E88"/>
    <w:rsid w:val="001C6A33"/>
    <w:rsid w:val="001C763A"/>
    <w:rsid w:val="001C7B0A"/>
    <w:rsid w:val="001D15EA"/>
    <w:rsid w:val="001D5179"/>
    <w:rsid w:val="001D5F84"/>
    <w:rsid w:val="001D6E0E"/>
    <w:rsid w:val="001E0E14"/>
    <w:rsid w:val="001E45D5"/>
    <w:rsid w:val="001E4B7D"/>
    <w:rsid w:val="001E6502"/>
    <w:rsid w:val="001E7275"/>
    <w:rsid w:val="001E762C"/>
    <w:rsid w:val="001F0604"/>
    <w:rsid w:val="001F4241"/>
    <w:rsid w:val="001F50A1"/>
    <w:rsid w:val="001F53C4"/>
    <w:rsid w:val="001F5D30"/>
    <w:rsid w:val="001F73AB"/>
    <w:rsid w:val="0020263E"/>
    <w:rsid w:val="00207921"/>
    <w:rsid w:val="00210B72"/>
    <w:rsid w:val="002118B3"/>
    <w:rsid w:val="0021203C"/>
    <w:rsid w:val="00215C9E"/>
    <w:rsid w:val="00217871"/>
    <w:rsid w:val="0021796C"/>
    <w:rsid w:val="0022034C"/>
    <w:rsid w:val="0022094D"/>
    <w:rsid w:val="002214E5"/>
    <w:rsid w:val="00224121"/>
    <w:rsid w:val="002244A4"/>
    <w:rsid w:val="00224BD1"/>
    <w:rsid w:val="00225A63"/>
    <w:rsid w:val="00226A94"/>
    <w:rsid w:val="002274BC"/>
    <w:rsid w:val="002305ED"/>
    <w:rsid w:val="002307C6"/>
    <w:rsid w:val="00230C65"/>
    <w:rsid w:val="002318C2"/>
    <w:rsid w:val="00233D0B"/>
    <w:rsid w:val="00234731"/>
    <w:rsid w:val="00235462"/>
    <w:rsid w:val="00237250"/>
    <w:rsid w:val="002400FC"/>
    <w:rsid w:val="00244324"/>
    <w:rsid w:val="0024542E"/>
    <w:rsid w:val="00245BF6"/>
    <w:rsid w:val="00247F22"/>
    <w:rsid w:val="002510DA"/>
    <w:rsid w:val="002515DB"/>
    <w:rsid w:val="00251EAD"/>
    <w:rsid w:val="0025574F"/>
    <w:rsid w:val="00255FA3"/>
    <w:rsid w:val="002600D3"/>
    <w:rsid w:val="00264048"/>
    <w:rsid w:val="00264A1B"/>
    <w:rsid w:val="0026702C"/>
    <w:rsid w:val="00267427"/>
    <w:rsid w:val="00270202"/>
    <w:rsid w:val="00270AFE"/>
    <w:rsid w:val="0027187D"/>
    <w:rsid w:val="00271950"/>
    <w:rsid w:val="002727A2"/>
    <w:rsid w:val="00273B2B"/>
    <w:rsid w:val="00274243"/>
    <w:rsid w:val="00274748"/>
    <w:rsid w:val="0027543D"/>
    <w:rsid w:val="00275588"/>
    <w:rsid w:val="00275969"/>
    <w:rsid w:val="00275BAE"/>
    <w:rsid w:val="00275F90"/>
    <w:rsid w:val="00277507"/>
    <w:rsid w:val="00277956"/>
    <w:rsid w:val="00280DCF"/>
    <w:rsid w:val="002820B4"/>
    <w:rsid w:val="002827DB"/>
    <w:rsid w:val="00282B27"/>
    <w:rsid w:val="00282FA6"/>
    <w:rsid w:val="00283F24"/>
    <w:rsid w:val="0028414E"/>
    <w:rsid w:val="00285DC7"/>
    <w:rsid w:val="002876D1"/>
    <w:rsid w:val="002903F5"/>
    <w:rsid w:val="002921C5"/>
    <w:rsid w:val="00292FD6"/>
    <w:rsid w:val="00294035"/>
    <w:rsid w:val="00295579"/>
    <w:rsid w:val="00295612"/>
    <w:rsid w:val="0029691A"/>
    <w:rsid w:val="002A044D"/>
    <w:rsid w:val="002A1FCF"/>
    <w:rsid w:val="002A5236"/>
    <w:rsid w:val="002A54C7"/>
    <w:rsid w:val="002A7E76"/>
    <w:rsid w:val="002B2E62"/>
    <w:rsid w:val="002B35AE"/>
    <w:rsid w:val="002B55F2"/>
    <w:rsid w:val="002C55F2"/>
    <w:rsid w:val="002C56D5"/>
    <w:rsid w:val="002C7701"/>
    <w:rsid w:val="002D01F6"/>
    <w:rsid w:val="002D0C9C"/>
    <w:rsid w:val="002D4BEC"/>
    <w:rsid w:val="002D56B6"/>
    <w:rsid w:val="002D56C2"/>
    <w:rsid w:val="002D74E4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5659"/>
    <w:rsid w:val="002E7277"/>
    <w:rsid w:val="002E7722"/>
    <w:rsid w:val="002E7EE2"/>
    <w:rsid w:val="002F0158"/>
    <w:rsid w:val="002F0965"/>
    <w:rsid w:val="002F19BC"/>
    <w:rsid w:val="002F3524"/>
    <w:rsid w:val="002F6467"/>
    <w:rsid w:val="0030007C"/>
    <w:rsid w:val="00300BCB"/>
    <w:rsid w:val="003054E9"/>
    <w:rsid w:val="003062FE"/>
    <w:rsid w:val="00311A6C"/>
    <w:rsid w:val="003163A4"/>
    <w:rsid w:val="003179C2"/>
    <w:rsid w:val="003223D5"/>
    <w:rsid w:val="00322CCD"/>
    <w:rsid w:val="00326797"/>
    <w:rsid w:val="00326BEB"/>
    <w:rsid w:val="0032792B"/>
    <w:rsid w:val="003316DD"/>
    <w:rsid w:val="00332081"/>
    <w:rsid w:val="0034190E"/>
    <w:rsid w:val="0034343D"/>
    <w:rsid w:val="0034457A"/>
    <w:rsid w:val="00344760"/>
    <w:rsid w:val="00344AB0"/>
    <w:rsid w:val="00344F94"/>
    <w:rsid w:val="00350FFF"/>
    <w:rsid w:val="0035178C"/>
    <w:rsid w:val="00351D02"/>
    <w:rsid w:val="0035305D"/>
    <w:rsid w:val="0035462F"/>
    <w:rsid w:val="00354B91"/>
    <w:rsid w:val="003554F8"/>
    <w:rsid w:val="0035721A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77334"/>
    <w:rsid w:val="003777F5"/>
    <w:rsid w:val="00380F3A"/>
    <w:rsid w:val="003813B7"/>
    <w:rsid w:val="0038200E"/>
    <w:rsid w:val="00382BAF"/>
    <w:rsid w:val="003833DA"/>
    <w:rsid w:val="003843C2"/>
    <w:rsid w:val="00384E61"/>
    <w:rsid w:val="003859D6"/>
    <w:rsid w:val="00385B82"/>
    <w:rsid w:val="003879FF"/>
    <w:rsid w:val="00391699"/>
    <w:rsid w:val="00391BFB"/>
    <w:rsid w:val="003923F7"/>
    <w:rsid w:val="00393359"/>
    <w:rsid w:val="00397251"/>
    <w:rsid w:val="003A018E"/>
    <w:rsid w:val="003A2554"/>
    <w:rsid w:val="003A269A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A99"/>
    <w:rsid w:val="003B7CE6"/>
    <w:rsid w:val="003C17EB"/>
    <w:rsid w:val="003C231A"/>
    <w:rsid w:val="003C281D"/>
    <w:rsid w:val="003C2895"/>
    <w:rsid w:val="003C29EF"/>
    <w:rsid w:val="003C46DD"/>
    <w:rsid w:val="003C486F"/>
    <w:rsid w:val="003C6E1A"/>
    <w:rsid w:val="003C7660"/>
    <w:rsid w:val="003D18F8"/>
    <w:rsid w:val="003D263E"/>
    <w:rsid w:val="003D38DC"/>
    <w:rsid w:val="003D4B9B"/>
    <w:rsid w:val="003D77E5"/>
    <w:rsid w:val="003E0E1A"/>
    <w:rsid w:val="003E13DB"/>
    <w:rsid w:val="003E235D"/>
    <w:rsid w:val="003E2900"/>
    <w:rsid w:val="003E2BF5"/>
    <w:rsid w:val="003E4A1B"/>
    <w:rsid w:val="003E64F5"/>
    <w:rsid w:val="003E7D6E"/>
    <w:rsid w:val="003F3716"/>
    <w:rsid w:val="003F43D2"/>
    <w:rsid w:val="003F4E78"/>
    <w:rsid w:val="003F53D8"/>
    <w:rsid w:val="003F63DA"/>
    <w:rsid w:val="004003DF"/>
    <w:rsid w:val="00402488"/>
    <w:rsid w:val="00402664"/>
    <w:rsid w:val="00403A16"/>
    <w:rsid w:val="004058B0"/>
    <w:rsid w:val="00405C6D"/>
    <w:rsid w:val="00406981"/>
    <w:rsid w:val="00410B50"/>
    <w:rsid w:val="00410D15"/>
    <w:rsid w:val="00411CDC"/>
    <w:rsid w:val="00414976"/>
    <w:rsid w:val="004163BD"/>
    <w:rsid w:val="00420A0F"/>
    <w:rsid w:val="0042154E"/>
    <w:rsid w:val="00422A9F"/>
    <w:rsid w:val="00422DF2"/>
    <w:rsid w:val="0042455D"/>
    <w:rsid w:val="0042674C"/>
    <w:rsid w:val="004267E0"/>
    <w:rsid w:val="0043118B"/>
    <w:rsid w:val="00431E0C"/>
    <w:rsid w:val="00432418"/>
    <w:rsid w:val="0043261F"/>
    <w:rsid w:val="0043304D"/>
    <w:rsid w:val="004349C9"/>
    <w:rsid w:val="00434D8C"/>
    <w:rsid w:val="00435284"/>
    <w:rsid w:val="00437A80"/>
    <w:rsid w:val="00437F92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221C"/>
    <w:rsid w:val="00454D4F"/>
    <w:rsid w:val="00456981"/>
    <w:rsid w:val="00456F0D"/>
    <w:rsid w:val="004575A2"/>
    <w:rsid w:val="00457CC0"/>
    <w:rsid w:val="00457DA3"/>
    <w:rsid w:val="0046094F"/>
    <w:rsid w:val="00461AED"/>
    <w:rsid w:val="00463621"/>
    <w:rsid w:val="00465A73"/>
    <w:rsid w:val="00465DAE"/>
    <w:rsid w:val="00466129"/>
    <w:rsid w:val="004676E0"/>
    <w:rsid w:val="004706D6"/>
    <w:rsid w:val="00470F20"/>
    <w:rsid w:val="00472104"/>
    <w:rsid w:val="00473286"/>
    <w:rsid w:val="0047557D"/>
    <w:rsid w:val="00476354"/>
    <w:rsid w:val="00480044"/>
    <w:rsid w:val="0048477A"/>
    <w:rsid w:val="00484B09"/>
    <w:rsid w:val="00484F46"/>
    <w:rsid w:val="00485450"/>
    <w:rsid w:val="00485E7F"/>
    <w:rsid w:val="0048655E"/>
    <w:rsid w:val="0049030B"/>
    <w:rsid w:val="00490C89"/>
    <w:rsid w:val="00491D0F"/>
    <w:rsid w:val="004955E1"/>
    <w:rsid w:val="0049695D"/>
    <w:rsid w:val="00496E9E"/>
    <w:rsid w:val="0049736D"/>
    <w:rsid w:val="004A045B"/>
    <w:rsid w:val="004A0732"/>
    <w:rsid w:val="004A2588"/>
    <w:rsid w:val="004A2682"/>
    <w:rsid w:val="004A40CE"/>
    <w:rsid w:val="004A5BCD"/>
    <w:rsid w:val="004A7E87"/>
    <w:rsid w:val="004B48FF"/>
    <w:rsid w:val="004B4F08"/>
    <w:rsid w:val="004B79F4"/>
    <w:rsid w:val="004C19CF"/>
    <w:rsid w:val="004C1E3C"/>
    <w:rsid w:val="004C5473"/>
    <w:rsid w:val="004C6E9E"/>
    <w:rsid w:val="004C7D79"/>
    <w:rsid w:val="004D0AB2"/>
    <w:rsid w:val="004D355C"/>
    <w:rsid w:val="004D390E"/>
    <w:rsid w:val="004D4D52"/>
    <w:rsid w:val="004D6E4E"/>
    <w:rsid w:val="004D7F0D"/>
    <w:rsid w:val="004E0ECB"/>
    <w:rsid w:val="004E13C0"/>
    <w:rsid w:val="004E1FBF"/>
    <w:rsid w:val="004E212C"/>
    <w:rsid w:val="004E2320"/>
    <w:rsid w:val="004E5C7A"/>
    <w:rsid w:val="004F09E3"/>
    <w:rsid w:val="004F12FE"/>
    <w:rsid w:val="004F1371"/>
    <w:rsid w:val="004F2C52"/>
    <w:rsid w:val="004F6122"/>
    <w:rsid w:val="004F6E97"/>
    <w:rsid w:val="004F71F3"/>
    <w:rsid w:val="004F72FC"/>
    <w:rsid w:val="0050055D"/>
    <w:rsid w:val="005021D2"/>
    <w:rsid w:val="0050224F"/>
    <w:rsid w:val="00503A8E"/>
    <w:rsid w:val="00503BEF"/>
    <w:rsid w:val="00504526"/>
    <w:rsid w:val="00504824"/>
    <w:rsid w:val="005109E4"/>
    <w:rsid w:val="00510CE5"/>
    <w:rsid w:val="00511E28"/>
    <w:rsid w:val="005146D0"/>
    <w:rsid w:val="005155FD"/>
    <w:rsid w:val="00515AE6"/>
    <w:rsid w:val="00516452"/>
    <w:rsid w:val="00521E97"/>
    <w:rsid w:val="005258EF"/>
    <w:rsid w:val="00525E6C"/>
    <w:rsid w:val="0052640E"/>
    <w:rsid w:val="00526D64"/>
    <w:rsid w:val="00526F44"/>
    <w:rsid w:val="0053013A"/>
    <w:rsid w:val="00530150"/>
    <w:rsid w:val="00533C03"/>
    <w:rsid w:val="00533C5C"/>
    <w:rsid w:val="0053405D"/>
    <w:rsid w:val="00535E60"/>
    <w:rsid w:val="00536923"/>
    <w:rsid w:val="00540698"/>
    <w:rsid w:val="0054107E"/>
    <w:rsid w:val="00541D0C"/>
    <w:rsid w:val="00541ED3"/>
    <w:rsid w:val="0054260A"/>
    <w:rsid w:val="00542CFE"/>
    <w:rsid w:val="00543175"/>
    <w:rsid w:val="00544C97"/>
    <w:rsid w:val="00545CD4"/>
    <w:rsid w:val="00550FAF"/>
    <w:rsid w:val="00551BB5"/>
    <w:rsid w:val="00552F39"/>
    <w:rsid w:val="005539C1"/>
    <w:rsid w:val="00553BD5"/>
    <w:rsid w:val="00553FC0"/>
    <w:rsid w:val="00554BBD"/>
    <w:rsid w:val="00555226"/>
    <w:rsid w:val="00555AE2"/>
    <w:rsid w:val="00555E19"/>
    <w:rsid w:val="00556E32"/>
    <w:rsid w:val="00562463"/>
    <w:rsid w:val="00563D99"/>
    <w:rsid w:val="00565853"/>
    <w:rsid w:val="00566D1F"/>
    <w:rsid w:val="00567351"/>
    <w:rsid w:val="00567944"/>
    <w:rsid w:val="00567E6B"/>
    <w:rsid w:val="00567EBF"/>
    <w:rsid w:val="0057071D"/>
    <w:rsid w:val="00570D3F"/>
    <w:rsid w:val="00570DE9"/>
    <w:rsid w:val="00571517"/>
    <w:rsid w:val="00573577"/>
    <w:rsid w:val="00575E8D"/>
    <w:rsid w:val="00577403"/>
    <w:rsid w:val="00580ED0"/>
    <w:rsid w:val="00587A95"/>
    <w:rsid w:val="00591DCE"/>
    <w:rsid w:val="0059228C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4104"/>
    <w:rsid w:val="005A5573"/>
    <w:rsid w:val="005A5A6D"/>
    <w:rsid w:val="005A7D19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495F"/>
    <w:rsid w:val="005C5D35"/>
    <w:rsid w:val="005C62D4"/>
    <w:rsid w:val="005C6929"/>
    <w:rsid w:val="005C6D62"/>
    <w:rsid w:val="005C762C"/>
    <w:rsid w:val="005C7E2A"/>
    <w:rsid w:val="005D22F1"/>
    <w:rsid w:val="005D2457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48DC"/>
    <w:rsid w:val="00624DB2"/>
    <w:rsid w:val="00625B8F"/>
    <w:rsid w:val="006270AC"/>
    <w:rsid w:val="00627826"/>
    <w:rsid w:val="00631CF4"/>
    <w:rsid w:val="006332ED"/>
    <w:rsid w:val="0063413E"/>
    <w:rsid w:val="0064248C"/>
    <w:rsid w:val="00642566"/>
    <w:rsid w:val="00642F3F"/>
    <w:rsid w:val="006435F0"/>
    <w:rsid w:val="0064427A"/>
    <w:rsid w:val="00645031"/>
    <w:rsid w:val="00645CD6"/>
    <w:rsid w:val="00647453"/>
    <w:rsid w:val="00650F89"/>
    <w:rsid w:val="00650FFD"/>
    <w:rsid w:val="0065195A"/>
    <w:rsid w:val="00651A0B"/>
    <w:rsid w:val="00652363"/>
    <w:rsid w:val="0065322B"/>
    <w:rsid w:val="00653C6E"/>
    <w:rsid w:val="00654CC9"/>
    <w:rsid w:val="00656412"/>
    <w:rsid w:val="0065664A"/>
    <w:rsid w:val="00656790"/>
    <w:rsid w:val="00660763"/>
    <w:rsid w:val="00662D0A"/>
    <w:rsid w:val="00663738"/>
    <w:rsid w:val="0066377E"/>
    <w:rsid w:val="00666055"/>
    <w:rsid w:val="006706BA"/>
    <w:rsid w:val="00671209"/>
    <w:rsid w:val="0067211C"/>
    <w:rsid w:val="00672A20"/>
    <w:rsid w:val="006733C5"/>
    <w:rsid w:val="006733F3"/>
    <w:rsid w:val="0067537F"/>
    <w:rsid w:val="00676500"/>
    <w:rsid w:val="00676EE9"/>
    <w:rsid w:val="0067767F"/>
    <w:rsid w:val="00681215"/>
    <w:rsid w:val="00682990"/>
    <w:rsid w:val="006846B3"/>
    <w:rsid w:val="0068639E"/>
    <w:rsid w:val="00686C7E"/>
    <w:rsid w:val="0068741B"/>
    <w:rsid w:val="00690F2C"/>
    <w:rsid w:val="00691812"/>
    <w:rsid w:val="006918BD"/>
    <w:rsid w:val="006921D0"/>
    <w:rsid w:val="00692C6D"/>
    <w:rsid w:val="00692CF5"/>
    <w:rsid w:val="00693CF0"/>
    <w:rsid w:val="00695A44"/>
    <w:rsid w:val="00697240"/>
    <w:rsid w:val="006A1B45"/>
    <w:rsid w:val="006A3A82"/>
    <w:rsid w:val="006A6CFC"/>
    <w:rsid w:val="006A7D6B"/>
    <w:rsid w:val="006B421C"/>
    <w:rsid w:val="006C2527"/>
    <w:rsid w:val="006C7855"/>
    <w:rsid w:val="006D0F7E"/>
    <w:rsid w:val="006D15C7"/>
    <w:rsid w:val="006D1DC9"/>
    <w:rsid w:val="006D2C26"/>
    <w:rsid w:val="006D2D88"/>
    <w:rsid w:val="006D3D7F"/>
    <w:rsid w:val="006D7484"/>
    <w:rsid w:val="006D786A"/>
    <w:rsid w:val="006D7B87"/>
    <w:rsid w:val="006E53F7"/>
    <w:rsid w:val="006E5A10"/>
    <w:rsid w:val="006E66CA"/>
    <w:rsid w:val="006F0CB1"/>
    <w:rsid w:val="006F126C"/>
    <w:rsid w:val="006F2A2E"/>
    <w:rsid w:val="006F2B4B"/>
    <w:rsid w:val="006F39CB"/>
    <w:rsid w:val="006F3B49"/>
    <w:rsid w:val="006F3D02"/>
    <w:rsid w:val="00701082"/>
    <w:rsid w:val="00701E2B"/>
    <w:rsid w:val="00702CAF"/>
    <w:rsid w:val="00704A2F"/>
    <w:rsid w:val="007126B5"/>
    <w:rsid w:val="00713E41"/>
    <w:rsid w:val="00714224"/>
    <w:rsid w:val="00717923"/>
    <w:rsid w:val="007179AB"/>
    <w:rsid w:val="00720A80"/>
    <w:rsid w:val="00720D6D"/>
    <w:rsid w:val="00721323"/>
    <w:rsid w:val="00721C81"/>
    <w:rsid w:val="00721EAF"/>
    <w:rsid w:val="00722072"/>
    <w:rsid w:val="00722A6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6217"/>
    <w:rsid w:val="00757D97"/>
    <w:rsid w:val="007600C9"/>
    <w:rsid w:val="00760A44"/>
    <w:rsid w:val="007637DD"/>
    <w:rsid w:val="007640C0"/>
    <w:rsid w:val="00765287"/>
    <w:rsid w:val="00771984"/>
    <w:rsid w:val="00771A85"/>
    <w:rsid w:val="00771E22"/>
    <w:rsid w:val="0077406B"/>
    <w:rsid w:val="00774571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873E0"/>
    <w:rsid w:val="007876FC"/>
    <w:rsid w:val="007912F4"/>
    <w:rsid w:val="00793B16"/>
    <w:rsid w:val="00795D0B"/>
    <w:rsid w:val="00797AEE"/>
    <w:rsid w:val="007A435C"/>
    <w:rsid w:val="007A4622"/>
    <w:rsid w:val="007A5753"/>
    <w:rsid w:val="007B0268"/>
    <w:rsid w:val="007B0686"/>
    <w:rsid w:val="007B19A4"/>
    <w:rsid w:val="007B42E9"/>
    <w:rsid w:val="007B53C8"/>
    <w:rsid w:val="007B6FFA"/>
    <w:rsid w:val="007B70CB"/>
    <w:rsid w:val="007B769B"/>
    <w:rsid w:val="007C011B"/>
    <w:rsid w:val="007C0FAD"/>
    <w:rsid w:val="007C20D1"/>
    <w:rsid w:val="007C2B39"/>
    <w:rsid w:val="007C7385"/>
    <w:rsid w:val="007D0077"/>
    <w:rsid w:val="007D181B"/>
    <w:rsid w:val="007D1987"/>
    <w:rsid w:val="007D2CEC"/>
    <w:rsid w:val="007D3D4B"/>
    <w:rsid w:val="007D490A"/>
    <w:rsid w:val="007D78F4"/>
    <w:rsid w:val="007D7C64"/>
    <w:rsid w:val="007E06D6"/>
    <w:rsid w:val="007E0D72"/>
    <w:rsid w:val="007E16D4"/>
    <w:rsid w:val="007E3EA1"/>
    <w:rsid w:val="007E4939"/>
    <w:rsid w:val="007E67FD"/>
    <w:rsid w:val="007F058C"/>
    <w:rsid w:val="007F0FFC"/>
    <w:rsid w:val="007F1000"/>
    <w:rsid w:val="007F11EE"/>
    <w:rsid w:val="007F4F1A"/>
    <w:rsid w:val="00800715"/>
    <w:rsid w:val="0080263C"/>
    <w:rsid w:val="00804C98"/>
    <w:rsid w:val="00812B0E"/>
    <w:rsid w:val="0081462D"/>
    <w:rsid w:val="00814832"/>
    <w:rsid w:val="00815A36"/>
    <w:rsid w:val="00822DE8"/>
    <w:rsid w:val="00823472"/>
    <w:rsid w:val="00830436"/>
    <w:rsid w:val="00835308"/>
    <w:rsid w:val="00842AB7"/>
    <w:rsid w:val="00846086"/>
    <w:rsid w:val="0085141C"/>
    <w:rsid w:val="00851A27"/>
    <w:rsid w:val="00852384"/>
    <w:rsid w:val="00853297"/>
    <w:rsid w:val="0085559A"/>
    <w:rsid w:val="00856449"/>
    <w:rsid w:val="00856844"/>
    <w:rsid w:val="00856B42"/>
    <w:rsid w:val="0085766B"/>
    <w:rsid w:val="008577B6"/>
    <w:rsid w:val="00864BDA"/>
    <w:rsid w:val="0086524D"/>
    <w:rsid w:val="00866726"/>
    <w:rsid w:val="00866A55"/>
    <w:rsid w:val="008678AE"/>
    <w:rsid w:val="00870B4B"/>
    <w:rsid w:val="00870ECB"/>
    <w:rsid w:val="00872A21"/>
    <w:rsid w:val="00873C5D"/>
    <w:rsid w:val="00875A46"/>
    <w:rsid w:val="008762A5"/>
    <w:rsid w:val="00876539"/>
    <w:rsid w:val="00876680"/>
    <w:rsid w:val="00880295"/>
    <w:rsid w:val="0088305E"/>
    <w:rsid w:val="00883916"/>
    <w:rsid w:val="00883FBA"/>
    <w:rsid w:val="00884A86"/>
    <w:rsid w:val="008854A0"/>
    <w:rsid w:val="008857E0"/>
    <w:rsid w:val="00886FF1"/>
    <w:rsid w:val="00887D81"/>
    <w:rsid w:val="00890D6B"/>
    <w:rsid w:val="00891031"/>
    <w:rsid w:val="00892312"/>
    <w:rsid w:val="00892973"/>
    <w:rsid w:val="008947AE"/>
    <w:rsid w:val="008A18B7"/>
    <w:rsid w:val="008A1AFF"/>
    <w:rsid w:val="008A3BB8"/>
    <w:rsid w:val="008A7B34"/>
    <w:rsid w:val="008B03A5"/>
    <w:rsid w:val="008B348E"/>
    <w:rsid w:val="008B467D"/>
    <w:rsid w:val="008B610D"/>
    <w:rsid w:val="008B6CA7"/>
    <w:rsid w:val="008B79BB"/>
    <w:rsid w:val="008C1728"/>
    <w:rsid w:val="008C266F"/>
    <w:rsid w:val="008C3A6B"/>
    <w:rsid w:val="008C50F7"/>
    <w:rsid w:val="008C5524"/>
    <w:rsid w:val="008C6B65"/>
    <w:rsid w:val="008C6E91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546F"/>
    <w:rsid w:val="008E5AD6"/>
    <w:rsid w:val="008E769A"/>
    <w:rsid w:val="008F1886"/>
    <w:rsid w:val="008F2FBF"/>
    <w:rsid w:val="008F406A"/>
    <w:rsid w:val="008F5544"/>
    <w:rsid w:val="008F5B45"/>
    <w:rsid w:val="008F7A35"/>
    <w:rsid w:val="00900221"/>
    <w:rsid w:val="00900B55"/>
    <w:rsid w:val="00903C5F"/>
    <w:rsid w:val="00903EA1"/>
    <w:rsid w:val="00904061"/>
    <w:rsid w:val="009040F2"/>
    <w:rsid w:val="00904300"/>
    <w:rsid w:val="00905B6A"/>
    <w:rsid w:val="00910098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5F7E"/>
    <w:rsid w:val="00926CC5"/>
    <w:rsid w:val="00931159"/>
    <w:rsid w:val="0093227D"/>
    <w:rsid w:val="00933DA3"/>
    <w:rsid w:val="0093691C"/>
    <w:rsid w:val="00937524"/>
    <w:rsid w:val="00942A51"/>
    <w:rsid w:val="0094478F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4669"/>
    <w:rsid w:val="0096556B"/>
    <w:rsid w:val="00971D1D"/>
    <w:rsid w:val="00974F49"/>
    <w:rsid w:val="009760D6"/>
    <w:rsid w:val="00976DE3"/>
    <w:rsid w:val="00982EBE"/>
    <w:rsid w:val="00984D0E"/>
    <w:rsid w:val="0098545F"/>
    <w:rsid w:val="009861E1"/>
    <w:rsid w:val="0098706C"/>
    <w:rsid w:val="00987B0D"/>
    <w:rsid w:val="00991141"/>
    <w:rsid w:val="00992303"/>
    <w:rsid w:val="00992903"/>
    <w:rsid w:val="009947D2"/>
    <w:rsid w:val="009950AC"/>
    <w:rsid w:val="00997F1C"/>
    <w:rsid w:val="009A0179"/>
    <w:rsid w:val="009A0558"/>
    <w:rsid w:val="009A064C"/>
    <w:rsid w:val="009A2552"/>
    <w:rsid w:val="009A36D0"/>
    <w:rsid w:val="009A725E"/>
    <w:rsid w:val="009A7EEC"/>
    <w:rsid w:val="009B00E9"/>
    <w:rsid w:val="009B02E4"/>
    <w:rsid w:val="009B2C19"/>
    <w:rsid w:val="009B2E91"/>
    <w:rsid w:val="009B3158"/>
    <w:rsid w:val="009B3DC9"/>
    <w:rsid w:val="009B43C8"/>
    <w:rsid w:val="009B51F4"/>
    <w:rsid w:val="009B7C30"/>
    <w:rsid w:val="009C0A3F"/>
    <w:rsid w:val="009C49F9"/>
    <w:rsid w:val="009C525E"/>
    <w:rsid w:val="009C6631"/>
    <w:rsid w:val="009D15CD"/>
    <w:rsid w:val="009D173B"/>
    <w:rsid w:val="009D1E5B"/>
    <w:rsid w:val="009D21C0"/>
    <w:rsid w:val="009D3086"/>
    <w:rsid w:val="009D3663"/>
    <w:rsid w:val="009D4380"/>
    <w:rsid w:val="009D5D29"/>
    <w:rsid w:val="009D6A28"/>
    <w:rsid w:val="009D7FD6"/>
    <w:rsid w:val="009E0C76"/>
    <w:rsid w:val="009E5349"/>
    <w:rsid w:val="009E6358"/>
    <w:rsid w:val="009E6AAE"/>
    <w:rsid w:val="009F24D7"/>
    <w:rsid w:val="009F671E"/>
    <w:rsid w:val="009F6CBA"/>
    <w:rsid w:val="009F6E5E"/>
    <w:rsid w:val="009F7571"/>
    <w:rsid w:val="00A03106"/>
    <w:rsid w:val="00A06D11"/>
    <w:rsid w:val="00A12A7D"/>
    <w:rsid w:val="00A1411E"/>
    <w:rsid w:val="00A15723"/>
    <w:rsid w:val="00A15AC5"/>
    <w:rsid w:val="00A15FE7"/>
    <w:rsid w:val="00A1685B"/>
    <w:rsid w:val="00A21E1D"/>
    <w:rsid w:val="00A2555A"/>
    <w:rsid w:val="00A25EE6"/>
    <w:rsid w:val="00A30EE1"/>
    <w:rsid w:val="00A3232F"/>
    <w:rsid w:val="00A32C73"/>
    <w:rsid w:val="00A337E7"/>
    <w:rsid w:val="00A34EFE"/>
    <w:rsid w:val="00A35758"/>
    <w:rsid w:val="00A377A4"/>
    <w:rsid w:val="00A379AB"/>
    <w:rsid w:val="00A37B8F"/>
    <w:rsid w:val="00A41AE5"/>
    <w:rsid w:val="00A41C23"/>
    <w:rsid w:val="00A41E98"/>
    <w:rsid w:val="00A433F5"/>
    <w:rsid w:val="00A46FC8"/>
    <w:rsid w:val="00A473A5"/>
    <w:rsid w:val="00A4760A"/>
    <w:rsid w:val="00A50DF6"/>
    <w:rsid w:val="00A5117C"/>
    <w:rsid w:val="00A512FD"/>
    <w:rsid w:val="00A5157E"/>
    <w:rsid w:val="00A530C3"/>
    <w:rsid w:val="00A538A7"/>
    <w:rsid w:val="00A57CD0"/>
    <w:rsid w:val="00A61636"/>
    <w:rsid w:val="00A62BD3"/>
    <w:rsid w:val="00A632CB"/>
    <w:rsid w:val="00A6469B"/>
    <w:rsid w:val="00A6549D"/>
    <w:rsid w:val="00A677A9"/>
    <w:rsid w:val="00A72326"/>
    <w:rsid w:val="00A7349D"/>
    <w:rsid w:val="00A754AF"/>
    <w:rsid w:val="00A77F7D"/>
    <w:rsid w:val="00A82007"/>
    <w:rsid w:val="00A841A7"/>
    <w:rsid w:val="00A84B42"/>
    <w:rsid w:val="00A85E56"/>
    <w:rsid w:val="00A86898"/>
    <w:rsid w:val="00A87BF6"/>
    <w:rsid w:val="00A909ED"/>
    <w:rsid w:val="00A90EF5"/>
    <w:rsid w:val="00A9299F"/>
    <w:rsid w:val="00A9351D"/>
    <w:rsid w:val="00A93597"/>
    <w:rsid w:val="00A948D5"/>
    <w:rsid w:val="00A94C96"/>
    <w:rsid w:val="00A94F35"/>
    <w:rsid w:val="00A969D9"/>
    <w:rsid w:val="00A97049"/>
    <w:rsid w:val="00A97728"/>
    <w:rsid w:val="00A9793E"/>
    <w:rsid w:val="00AA3D34"/>
    <w:rsid w:val="00AA4AE9"/>
    <w:rsid w:val="00AA57E5"/>
    <w:rsid w:val="00AA6A6E"/>
    <w:rsid w:val="00AA72FA"/>
    <w:rsid w:val="00AB214B"/>
    <w:rsid w:val="00AB264F"/>
    <w:rsid w:val="00AB28E2"/>
    <w:rsid w:val="00AB35BE"/>
    <w:rsid w:val="00AB41EE"/>
    <w:rsid w:val="00AB43F5"/>
    <w:rsid w:val="00AB4859"/>
    <w:rsid w:val="00AB4EC8"/>
    <w:rsid w:val="00AC0EC5"/>
    <w:rsid w:val="00AC16D9"/>
    <w:rsid w:val="00AC40C7"/>
    <w:rsid w:val="00AC46E0"/>
    <w:rsid w:val="00AC56BC"/>
    <w:rsid w:val="00AD031A"/>
    <w:rsid w:val="00AD1263"/>
    <w:rsid w:val="00AD1BF5"/>
    <w:rsid w:val="00AD3C18"/>
    <w:rsid w:val="00AD3EA1"/>
    <w:rsid w:val="00AD55D1"/>
    <w:rsid w:val="00AD6C9C"/>
    <w:rsid w:val="00AE0992"/>
    <w:rsid w:val="00AE0A6F"/>
    <w:rsid w:val="00AE1436"/>
    <w:rsid w:val="00AE2888"/>
    <w:rsid w:val="00AE3383"/>
    <w:rsid w:val="00AE685E"/>
    <w:rsid w:val="00AE7974"/>
    <w:rsid w:val="00AE7981"/>
    <w:rsid w:val="00AF068C"/>
    <w:rsid w:val="00AF4A4C"/>
    <w:rsid w:val="00AF61F5"/>
    <w:rsid w:val="00AF74F3"/>
    <w:rsid w:val="00AF7D5F"/>
    <w:rsid w:val="00B000C9"/>
    <w:rsid w:val="00B01D8A"/>
    <w:rsid w:val="00B03FA5"/>
    <w:rsid w:val="00B05623"/>
    <w:rsid w:val="00B0577A"/>
    <w:rsid w:val="00B05933"/>
    <w:rsid w:val="00B05B4F"/>
    <w:rsid w:val="00B06D06"/>
    <w:rsid w:val="00B07FF1"/>
    <w:rsid w:val="00B119A9"/>
    <w:rsid w:val="00B12E73"/>
    <w:rsid w:val="00B13E95"/>
    <w:rsid w:val="00B148F8"/>
    <w:rsid w:val="00B17121"/>
    <w:rsid w:val="00B20711"/>
    <w:rsid w:val="00B20B10"/>
    <w:rsid w:val="00B22920"/>
    <w:rsid w:val="00B260A6"/>
    <w:rsid w:val="00B27673"/>
    <w:rsid w:val="00B32341"/>
    <w:rsid w:val="00B33AA8"/>
    <w:rsid w:val="00B407FB"/>
    <w:rsid w:val="00B40DA8"/>
    <w:rsid w:val="00B420A4"/>
    <w:rsid w:val="00B44075"/>
    <w:rsid w:val="00B45774"/>
    <w:rsid w:val="00B467E5"/>
    <w:rsid w:val="00B46FB2"/>
    <w:rsid w:val="00B53217"/>
    <w:rsid w:val="00B532BF"/>
    <w:rsid w:val="00B53E48"/>
    <w:rsid w:val="00B54843"/>
    <w:rsid w:val="00B555DD"/>
    <w:rsid w:val="00B5597F"/>
    <w:rsid w:val="00B565AE"/>
    <w:rsid w:val="00B56B95"/>
    <w:rsid w:val="00B56DDB"/>
    <w:rsid w:val="00B5738E"/>
    <w:rsid w:val="00B612F5"/>
    <w:rsid w:val="00B65FE1"/>
    <w:rsid w:val="00B739C6"/>
    <w:rsid w:val="00B74BC0"/>
    <w:rsid w:val="00B759E2"/>
    <w:rsid w:val="00B76AC9"/>
    <w:rsid w:val="00B80E9C"/>
    <w:rsid w:val="00B82430"/>
    <w:rsid w:val="00B83ED2"/>
    <w:rsid w:val="00B849E3"/>
    <w:rsid w:val="00B852B8"/>
    <w:rsid w:val="00B86737"/>
    <w:rsid w:val="00B8767A"/>
    <w:rsid w:val="00B908E5"/>
    <w:rsid w:val="00B91412"/>
    <w:rsid w:val="00B91DE9"/>
    <w:rsid w:val="00B92852"/>
    <w:rsid w:val="00B9446B"/>
    <w:rsid w:val="00B94FDC"/>
    <w:rsid w:val="00B966EE"/>
    <w:rsid w:val="00BA06B3"/>
    <w:rsid w:val="00BA0D69"/>
    <w:rsid w:val="00BA287D"/>
    <w:rsid w:val="00BA30C6"/>
    <w:rsid w:val="00BA3BB3"/>
    <w:rsid w:val="00BA4400"/>
    <w:rsid w:val="00BA4F00"/>
    <w:rsid w:val="00BA5865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37FD"/>
    <w:rsid w:val="00BC4F4E"/>
    <w:rsid w:val="00BC59E6"/>
    <w:rsid w:val="00BC5D46"/>
    <w:rsid w:val="00BC6D4E"/>
    <w:rsid w:val="00BD048B"/>
    <w:rsid w:val="00BD2FDE"/>
    <w:rsid w:val="00BD423B"/>
    <w:rsid w:val="00BD423E"/>
    <w:rsid w:val="00BD4295"/>
    <w:rsid w:val="00BD4895"/>
    <w:rsid w:val="00BE03BC"/>
    <w:rsid w:val="00BE179E"/>
    <w:rsid w:val="00BE1CD0"/>
    <w:rsid w:val="00BE2E0C"/>
    <w:rsid w:val="00BE41B7"/>
    <w:rsid w:val="00BE6033"/>
    <w:rsid w:val="00BE6118"/>
    <w:rsid w:val="00BE6C7E"/>
    <w:rsid w:val="00BE711F"/>
    <w:rsid w:val="00BF0EE4"/>
    <w:rsid w:val="00BF197E"/>
    <w:rsid w:val="00BF2C16"/>
    <w:rsid w:val="00BF2DF8"/>
    <w:rsid w:val="00BF39BA"/>
    <w:rsid w:val="00BF4945"/>
    <w:rsid w:val="00BF50B0"/>
    <w:rsid w:val="00BF7107"/>
    <w:rsid w:val="00BF7E97"/>
    <w:rsid w:val="00C00B36"/>
    <w:rsid w:val="00C02181"/>
    <w:rsid w:val="00C0257E"/>
    <w:rsid w:val="00C06463"/>
    <w:rsid w:val="00C06A86"/>
    <w:rsid w:val="00C107FE"/>
    <w:rsid w:val="00C11383"/>
    <w:rsid w:val="00C12D6C"/>
    <w:rsid w:val="00C13727"/>
    <w:rsid w:val="00C13F14"/>
    <w:rsid w:val="00C1525E"/>
    <w:rsid w:val="00C15C4F"/>
    <w:rsid w:val="00C16163"/>
    <w:rsid w:val="00C178BF"/>
    <w:rsid w:val="00C20F84"/>
    <w:rsid w:val="00C2519A"/>
    <w:rsid w:val="00C252E2"/>
    <w:rsid w:val="00C25320"/>
    <w:rsid w:val="00C26EE0"/>
    <w:rsid w:val="00C2720D"/>
    <w:rsid w:val="00C2772E"/>
    <w:rsid w:val="00C27803"/>
    <w:rsid w:val="00C3074D"/>
    <w:rsid w:val="00C30E5A"/>
    <w:rsid w:val="00C31DC5"/>
    <w:rsid w:val="00C35CBD"/>
    <w:rsid w:val="00C37844"/>
    <w:rsid w:val="00C40B0E"/>
    <w:rsid w:val="00C41989"/>
    <w:rsid w:val="00C47B4D"/>
    <w:rsid w:val="00C51A25"/>
    <w:rsid w:val="00C534EB"/>
    <w:rsid w:val="00C54274"/>
    <w:rsid w:val="00C54F29"/>
    <w:rsid w:val="00C55D1F"/>
    <w:rsid w:val="00C56CE3"/>
    <w:rsid w:val="00C6215A"/>
    <w:rsid w:val="00C64827"/>
    <w:rsid w:val="00C65035"/>
    <w:rsid w:val="00C65A07"/>
    <w:rsid w:val="00C67534"/>
    <w:rsid w:val="00C7090D"/>
    <w:rsid w:val="00C716E4"/>
    <w:rsid w:val="00C72458"/>
    <w:rsid w:val="00C72EF4"/>
    <w:rsid w:val="00C73796"/>
    <w:rsid w:val="00C76290"/>
    <w:rsid w:val="00C76CCA"/>
    <w:rsid w:val="00C818E1"/>
    <w:rsid w:val="00C844F5"/>
    <w:rsid w:val="00C9076D"/>
    <w:rsid w:val="00C9217B"/>
    <w:rsid w:val="00C92C33"/>
    <w:rsid w:val="00C93703"/>
    <w:rsid w:val="00C9406C"/>
    <w:rsid w:val="00C95A9B"/>
    <w:rsid w:val="00C97ABE"/>
    <w:rsid w:val="00CA0B32"/>
    <w:rsid w:val="00CB08DD"/>
    <w:rsid w:val="00CB1E2E"/>
    <w:rsid w:val="00CB2712"/>
    <w:rsid w:val="00CB3874"/>
    <w:rsid w:val="00CB3E4A"/>
    <w:rsid w:val="00CB53AF"/>
    <w:rsid w:val="00CB57F0"/>
    <w:rsid w:val="00CB7288"/>
    <w:rsid w:val="00CC4D6D"/>
    <w:rsid w:val="00CC5487"/>
    <w:rsid w:val="00CC5CEE"/>
    <w:rsid w:val="00CC7121"/>
    <w:rsid w:val="00CC7560"/>
    <w:rsid w:val="00CC7D6E"/>
    <w:rsid w:val="00CD07A7"/>
    <w:rsid w:val="00CD13F4"/>
    <w:rsid w:val="00CD544A"/>
    <w:rsid w:val="00CD5EDF"/>
    <w:rsid w:val="00CE3D96"/>
    <w:rsid w:val="00CE4799"/>
    <w:rsid w:val="00CE51D3"/>
    <w:rsid w:val="00CE52CA"/>
    <w:rsid w:val="00CF3CBF"/>
    <w:rsid w:val="00CF3F93"/>
    <w:rsid w:val="00CF3FFB"/>
    <w:rsid w:val="00CF65A0"/>
    <w:rsid w:val="00D01457"/>
    <w:rsid w:val="00D02DFD"/>
    <w:rsid w:val="00D0496C"/>
    <w:rsid w:val="00D10B51"/>
    <w:rsid w:val="00D11925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24B22"/>
    <w:rsid w:val="00D3345E"/>
    <w:rsid w:val="00D33E1B"/>
    <w:rsid w:val="00D36A2B"/>
    <w:rsid w:val="00D4170E"/>
    <w:rsid w:val="00D419BE"/>
    <w:rsid w:val="00D420BC"/>
    <w:rsid w:val="00D42AFC"/>
    <w:rsid w:val="00D4464C"/>
    <w:rsid w:val="00D4513E"/>
    <w:rsid w:val="00D46A2F"/>
    <w:rsid w:val="00D47FA0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6164A"/>
    <w:rsid w:val="00D622DF"/>
    <w:rsid w:val="00D645E5"/>
    <w:rsid w:val="00D64FEB"/>
    <w:rsid w:val="00D664C8"/>
    <w:rsid w:val="00D66C3C"/>
    <w:rsid w:val="00D66C6F"/>
    <w:rsid w:val="00D71AEC"/>
    <w:rsid w:val="00D722C2"/>
    <w:rsid w:val="00D7349C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206"/>
    <w:rsid w:val="00D902BB"/>
    <w:rsid w:val="00D917B7"/>
    <w:rsid w:val="00D93566"/>
    <w:rsid w:val="00D93D60"/>
    <w:rsid w:val="00D94281"/>
    <w:rsid w:val="00D95721"/>
    <w:rsid w:val="00D96D80"/>
    <w:rsid w:val="00DA0473"/>
    <w:rsid w:val="00DA1CA5"/>
    <w:rsid w:val="00DA2AAF"/>
    <w:rsid w:val="00DA2D03"/>
    <w:rsid w:val="00DA3969"/>
    <w:rsid w:val="00DA67E0"/>
    <w:rsid w:val="00DA7F79"/>
    <w:rsid w:val="00DB0C85"/>
    <w:rsid w:val="00DB2A51"/>
    <w:rsid w:val="00DB3BFF"/>
    <w:rsid w:val="00DB439A"/>
    <w:rsid w:val="00DB6FB3"/>
    <w:rsid w:val="00DC19F1"/>
    <w:rsid w:val="00DC29A8"/>
    <w:rsid w:val="00DC3582"/>
    <w:rsid w:val="00DC5B56"/>
    <w:rsid w:val="00DC622E"/>
    <w:rsid w:val="00DD0665"/>
    <w:rsid w:val="00DD1D09"/>
    <w:rsid w:val="00DD34F9"/>
    <w:rsid w:val="00DD53CD"/>
    <w:rsid w:val="00DE2F6C"/>
    <w:rsid w:val="00DE439E"/>
    <w:rsid w:val="00DE6CDA"/>
    <w:rsid w:val="00DF140B"/>
    <w:rsid w:val="00DF3818"/>
    <w:rsid w:val="00DF43A7"/>
    <w:rsid w:val="00DF6281"/>
    <w:rsid w:val="00DF7A1E"/>
    <w:rsid w:val="00E00613"/>
    <w:rsid w:val="00E0065A"/>
    <w:rsid w:val="00E018B9"/>
    <w:rsid w:val="00E039CB"/>
    <w:rsid w:val="00E07C8A"/>
    <w:rsid w:val="00E12346"/>
    <w:rsid w:val="00E12738"/>
    <w:rsid w:val="00E1408D"/>
    <w:rsid w:val="00E20333"/>
    <w:rsid w:val="00E21149"/>
    <w:rsid w:val="00E21229"/>
    <w:rsid w:val="00E23C83"/>
    <w:rsid w:val="00E3044B"/>
    <w:rsid w:val="00E32287"/>
    <w:rsid w:val="00E329D4"/>
    <w:rsid w:val="00E407CD"/>
    <w:rsid w:val="00E409BE"/>
    <w:rsid w:val="00E431A9"/>
    <w:rsid w:val="00E45D20"/>
    <w:rsid w:val="00E47484"/>
    <w:rsid w:val="00E51235"/>
    <w:rsid w:val="00E5132E"/>
    <w:rsid w:val="00E51793"/>
    <w:rsid w:val="00E53DB5"/>
    <w:rsid w:val="00E54895"/>
    <w:rsid w:val="00E5590F"/>
    <w:rsid w:val="00E5595F"/>
    <w:rsid w:val="00E566E7"/>
    <w:rsid w:val="00E628E0"/>
    <w:rsid w:val="00E63A62"/>
    <w:rsid w:val="00E63C4C"/>
    <w:rsid w:val="00E704C6"/>
    <w:rsid w:val="00E70E17"/>
    <w:rsid w:val="00E72157"/>
    <w:rsid w:val="00E7265E"/>
    <w:rsid w:val="00E75C5B"/>
    <w:rsid w:val="00E7627F"/>
    <w:rsid w:val="00E76A54"/>
    <w:rsid w:val="00E77FDA"/>
    <w:rsid w:val="00E80A6E"/>
    <w:rsid w:val="00E80EA8"/>
    <w:rsid w:val="00E82AAC"/>
    <w:rsid w:val="00E86360"/>
    <w:rsid w:val="00E879D6"/>
    <w:rsid w:val="00E87A55"/>
    <w:rsid w:val="00E90770"/>
    <w:rsid w:val="00E9424B"/>
    <w:rsid w:val="00E97C43"/>
    <w:rsid w:val="00EA198D"/>
    <w:rsid w:val="00EA309D"/>
    <w:rsid w:val="00EA3A9A"/>
    <w:rsid w:val="00EA7E5A"/>
    <w:rsid w:val="00EB35C3"/>
    <w:rsid w:val="00EB3913"/>
    <w:rsid w:val="00EB49CC"/>
    <w:rsid w:val="00EB504E"/>
    <w:rsid w:val="00EB53BC"/>
    <w:rsid w:val="00EB546C"/>
    <w:rsid w:val="00EB56C6"/>
    <w:rsid w:val="00EB68A3"/>
    <w:rsid w:val="00EB7ED2"/>
    <w:rsid w:val="00EB7F80"/>
    <w:rsid w:val="00EC0D30"/>
    <w:rsid w:val="00EC4B5B"/>
    <w:rsid w:val="00EC6096"/>
    <w:rsid w:val="00EC7E5D"/>
    <w:rsid w:val="00ED0C28"/>
    <w:rsid w:val="00ED1A21"/>
    <w:rsid w:val="00ED32F0"/>
    <w:rsid w:val="00ED4967"/>
    <w:rsid w:val="00ED5043"/>
    <w:rsid w:val="00ED52B1"/>
    <w:rsid w:val="00ED5902"/>
    <w:rsid w:val="00ED5C5B"/>
    <w:rsid w:val="00ED6655"/>
    <w:rsid w:val="00ED66AA"/>
    <w:rsid w:val="00ED7A61"/>
    <w:rsid w:val="00EE163B"/>
    <w:rsid w:val="00EE2B3C"/>
    <w:rsid w:val="00EE33B5"/>
    <w:rsid w:val="00EE4546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32FE"/>
    <w:rsid w:val="00F03471"/>
    <w:rsid w:val="00F06029"/>
    <w:rsid w:val="00F06EEB"/>
    <w:rsid w:val="00F07185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0921"/>
    <w:rsid w:val="00F316D9"/>
    <w:rsid w:val="00F31B19"/>
    <w:rsid w:val="00F31E23"/>
    <w:rsid w:val="00F340C8"/>
    <w:rsid w:val="00F34A5C"/>
    <w:rsid w:val="00F3769A"/>
    <w:rsid w:val="00F45BAE"/>
    <w:rsid w:val="00F46658"/>
    <w:rsid w:val="00F47319"/>
    <w:rsid w:val="00F50C0F"/>
    <w:rsid w:val="00F51781"/>
    <w:rsid w:val="00F527AE"/>
    <w:rsid w:val="00F52B80"/>
    <w:rsid w:val="00F535B8"/>
    <w:rsid w:val="00F55059"/>
    <w:rsid w:val="00F60587"/>
    <w:rsid w:val="00F63549"/>
    <w:rsid w:val="00F63CD9"/>
    <w:rsid w:val="00F660BC"/>
    <w:rsid w:val="00F663B0"/>
    <w:rsid w:val="00F66AE8"/>
    <w:rsid w:val="00F70903"/>
    <w:rsid w:val="00F70B35"/>
    <w:rsid w:val="00F72001"/>
    <w:rsid w:val="00F731F3"/>
    <w:rsid w:val="00F73B12"/>
    <w:rsid w:val="00F73CAD"/>
    <w:rsid w:val="00F73F08"/>
    <w:rsid w:val="00F746DB"/>
    <w:rsid w:val="00F74933"/>
    <w:rsid w:val="00F75AEA"/>
    <w:rsid w:val="00F76016"/>
    <w:rsid w:val="00F7675B"/>
    <w:rsid w:val="00F81F3B"/>
    <w:rsid w:val="00F82667"/>
    <w:rsid w:val="00F834E7"/>
    <w:rsid w:val="00F84B95"/>
    <w:rsid w:val="00F85118"/>
    <w:rsid w:val="00F85847"/>
    <w:rsid w:val="00F85A30"/>
    <w:rsid w:val="00F91879"/>
    <w:rsid w:val="00F9626F"/>
    <w:rsid w:val="00F964AF"/>
    <w:rsid w:val="00F9672E"/>
    <w:rsid w:val="00FA0BE6"/>
    <w:rsid w:val="00FA19A3"/>
    <w:rsid w:val="00FA2A4F"/>
    <w:rsid w:val="00FA36D0"/>
    <w:rsid w:val="00FA4527"/>
    <w:rsid w:val="00FA77FA"/>
    <w:rsid w:val="00FB0868"/>
    <w:rsid w:val="00FB2FC5"/>
    <w:rsid w:val="00FB3A83"/>
    <w:rsid w:val="00FC1207"/>
    <w:rsid w:val="00FC3FAD"/>
    <w:rsid w:val="00FC43EE"/>
    <w:rsid w:val="00FC5B14"/>
    <w:rsid w:val="00FC5BA0"/>
    <w:rsid w:val="00FD06E9"/>
    <w:rsid w:val="00FD0B18"/>
    <w:rsid w:val="00FD2BA1"/>
    <w:rsid w:val="00FD554A"/>
    <w:rsid w:val="00FD651D"/>
    <w:rsid w:val="00FD7C94"/>
    <w:rsid w:val="00FE0437"/>
    <w:rsid w:val="00FE238C"/>
    <w:rsid w:val="00FE4091"/>
    <w:rsid w:val="00FE40F9"/>
    <w:rsid w:val="00FE50FF"/>
    <w:rsid w:val="00FE613D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rsid w:val="009E5349"/>
    <w:pPr>
      <w:spacing w:after="200" w:line="240" w:lineRule="auto"/>
      <w:jc w:val="both"/>
    </w:pPr>
    <w:rPr>
      <w:rFonts w:ascii="Segoe UI" w:hAnsi="Segoe UI"/>
      <w:sz w:val="24"/>
    </w:r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/>
      <w:ind w:left="1296" w:hanging="1296"/>
      <w:jc w:val="left"/>
      <w:outlineLvl w:val="6"/>
    </w:pPr>
    <w:rPr>
      <w:rFonts w:ascii="Arial Narrow" w:eastAsia="Times New Roman" w:hAnsi="Arial Narrow" w:cs="Times New Roman"/>
      <w:caps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/>
      <w:ind w:left="1440" w:hanging="1440"/>
      <w:outlineLvl w:val="7"/>
    </w:pPr>
    <w:rPr>
      <w:rFonts w:ascii="Arial Narrow" w:eastAsia="Times New Roman" w:hAnsi="Arial Narrow" w:cs="Times New Roman"/>
      <w:i/>
      <w:iCs/>
      <w:caps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77334"/>
    <w:pPr>
      <w:ind w:left="720"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/>
    </w:pPr>
    <w:rPr>
      <w:rFonts w:ascii="Arial Narrow" w:hAnsi="Arial Narrow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99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3146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eastAsiaTheme="minorEastAsia"/>
      <w:b/>
      <w:bCs/>
      <w:noProof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F24D7"/>
    <w:pPr>
      <w:tabs>
        <w:tab w:val="left" w:pos="1134"/>
        <w:tab w:val="right" w:leader="dot" w:pos="9061"/>
      </w:tabs>
      <w:spacing w:after="120" w:line="264" w:lineRule="auto"/>
      <w:ind w:left="284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3C486F"/>
    <w:pPr>
      <w:numPr>
        <w:numId w:val="48"/>
      </w:numPr>
      <w:spacing w:before="240" w:after="120"/>
      <w:jc w:val="left"/>
    </w:pPr>
    <w:rPr>
      <w:rFonts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3C486F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53405D"/>
    <w:pPr>
      <w:spacing w:before="240" w:after="60"/>
    </w:pPr>
    <w:rPr>
      <w:rFonts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53405D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  <w:sz w:val="24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4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4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48"/>
      </w:numPr>
      <w:spacing w:before="0" w:after="120" w:line="288" w:lineRule="auto"/>
    </w:pPr>
    <w:rPr>
      <w:rFonts w:ascii="Calibri" w:hAnsi="Calibri"/>
      <w:color w:val="F56C17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/>
    </w:pPr>
    <w:rPr>
      <w:rFonts w:ascii="Arial" w:eastAsia="Times New Roman" w:hAnsi="Arial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/>
    </w:pPr>
    <w:rPr>
      <w:rFonts w:ascii="Arial" w:eastAsia="Times New Roman" w:hAnsi="Arial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/>
      <w:ind w:left="357" w:hanging="357"/>
      <w:jc w:val="left"/>
    </w:pPr>
    <w:rPr>
      <w:rFonts w:eastAsiaTheme="majorEastAsia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892973"/>
    <w:pPr>
      <w:spacing w:after="60" w:line="264" w:lineRule="auto"/>
    </w:pPr>
    <w:rPr>
      <w:rFonts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892973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77334"/>
    <w:rPr>
      <w:rFonts w:ascii="Segoe UI" w:hAnsi="Segoe UI"/>
      <w:sz w:val="24"/>
    </w:rPr>
  </w:style>
  <w:style w:type="paragraph" w:customStyle="1" w:styleId="STNADPIS3">
    <w:name w:val="S+T_NADPIS3"/>
    <w:basedOn w:val="STnormal"/>
    <w:next w:val="Normln"/>
    <w:link w:val="STNADPIS3Char"/>
    <w:qFormat/>
    <w:rsid w:val="00F660BC"/>
    <w:pPr>
      <w:keepNext/>
      <w:keepLines/>
      <w:numPr>
        <w:ilvl w:val="2"/>
        <w:numId w:val="48"/>
      </w:numPr>
      <w:spacing w:before="120" w:after="0" w:line="240" w:lineRule="auto"/>
      <w:jc w:val="left"/>
      <w:outlineLvl w:val="2"/>
    </w:pPr>
    <w:rPr>
      <w:b/>
      <w:sz w:val="24"/>
    </w:rPr>
  </w:style>
  <w:style w:type="character" w:customStyle="1" w:styleId="STNADPIS3Char">
    <w:name w:val="S+T_NADPIS3 Char"/>
    <w:basedOn w:val="Nadpis2Char"/>
    <w:link w:val="STNADPIS3"/>
    <w:rsid w:val="00F660BC"/>
    <w:rPr>
      <w:rFonts w:ascii="Segoe UI" w:hAnsi="Segoe UI" w:cs="Segoe UI"/>
      <w:b/>
      <w:sz w:val="24"/>
      <w:szCs w:val="20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  <w:sz w:val="24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  <w:style w:type="character" w:styleId="Siln">
    <w:name w:val="Strong"/>
    <w:basedOn w:val="Standardnpsmoodstavce"/>
    <w:uiPriority w:val="22"/>
    <w:qFormat/>
    <w:rsid w:val="00C13F14"/>
    <w:rPr>
      <w:b/>
      <w:bCs/>
    </w:rPr>
  </w:style>
  <w:style w:type="paragraph" w:customStyle="1" w:styleId="Normlnbezmezer">
    <w:name w:val="Normální bez mezer"/>
    <w:basedOn w:val="Normln"/>
    <w:link w:val="NormlnbezmezerChar"/>
    <w:qFormat/>
    <w:rsid w:val="00484B09"/>
    <w:pPr>
      <w:spacing w:after="0"/>
    </w:pPr>
  </w:style>
  <w:style w:type="character" w:customStyle="1" w:styleId="NormlnbezmezerChar">
    <w:name w:val="Normální bez mezer Char"/>
    <w:link w:val="Normlnbezmezer"/>
    <w:locked/>
    <w:rsid w:val="0094478F"/>
    <w:rPr>
      <w:rFonts w:ascii="Segoe UI" w:hAnsi="Segoe UI"/>
      <w:sz w:val="24"/>
    </w:rPr>
  </w:style>
  <w:style w:type="paragraph" w:customStyle="1" w:styleId="Normlntab">
    <w:name w:val="Normální tab"/>
    <w:basedOn w:val="Normln"/>
    <w:qFormat/>
    <w:rsid w:val="0094478F"/>
    <w:pPr>
      <w:suppressAutoHyphens/>
      <w:spacing w:after="0"/>
      <w:jc w:val="left"/>
    </w:pPr>
    <w:rPr>
      <w:rFonts w:ascii="Times New Roman" w:eastAsia="Calibri" w:hAnsi="Times New Roman"/>
      <w:color w:val="00000A"/>
      <w:sz w:val="20"/>
    </w:rPr>
  </w:style>
  <w:style w:type="paragraph" w:customStyle="1" w:styleId="NormlnNadpistabulky">
    <w:name w:val="Normální Nadpis tabulky"/>
    <w:basedOn w:val="Normlntab"/>
    <w:rsid w:val="0094478F"/>
    <w:pPr>
      <w:spacing w:after="100"/>
    </w:pPr>
    <w:rPr>
      <w:b/>
      <w:sz w:val="24"/>
    </w:rPr>
  </w:style>
  <w:style w:type="paragraph" w:customStyle="1" w:styleId="Normlntabodstavec">
    <w:name w:val="Normální tab odstavec"/>
    <w:basedOn w:val="Normlntab"/>
    <w:rsid w:val="0094478F"/>
    <w:pPr>
      <w:spacing w:after="100"/>
    </w:pPr>
  </w:style>
  <w:style w:type="paragraph" w:customStyle="1" w:styleId="Styl">
    <w:name w:val="Styl"/>
    <w:locked/>
    <w:rsid w:val="00F70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1C6FB-9079-46EA-A92B-04746F50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15</Pages>
  <Words>3750</Words>
  <Characters>22129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26</cp:revision>
  <cp:lastPrinted>2019-09-03T17:20:00Z</cp:lastPrinted>
  <dcterms:created xsi:type="dcterms:W3CDTF">2019-09-01T13:39:00Z</dcterms:created>
  <dcterms:modified xsi:type="dcterms:W3CDTF">2019-09-04T12:23:00Z</dcterms:modified>
</cp:coreProperties>
</file>